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  <w:sz w:val="28"/>
          <w:szCs w:val="20"/>
          <w:lang w:eastAsia="ru-RU"/>
        </w:rPr>
      </w:pPr>
      <w:r>
        <w:rPr>
          <w:b/>
          <w:sz w:val="28"/>
          <w:szCs w:val="20"/>
          <w:lang w:eastAsia="ru-RU"/>
        </w:rPr>
        <mc:AlternateContent>
          <mc:Choice Requires="wpg">
            <w:drawing>
              <wp:anchor xmlns:wp="http://schemas.openxmlformats.org/drawingml/2006/wordprocessingDrawing"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2608262</wp:posOffset>
                </wp:positionH>
                <wp:positionV relativeFrom="paragraph">
                  <wp:posOffset>-394335</wp:posOffset>
                </wp:positionV>
                <wp:extent cx="720090" cy="955675"/>
                <wp:effectExtent l="0" t="0" r="3810" b="0"/>
                <wp:wrapSquare wrapText="bothSides"/>
                <wp:docPr id="1" name="Рисунок 1" descr="Герб ППО (вектор) черная" hidden="false"/>
                <wp:cNvGraphicFramePr>
                  <a:graphicFrameLocks xmlns:a="http://schemas.openxmlformats.org/drawingml/2006/main" noChangeAspect="tru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2" descr="Герб ППО (вектор) черная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720090" cy="955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mso-wrap-distance-left:9.0pt;mso-wrap-distance-top:0.0pt;mso-wrap-distance-right:9.0pt;mso-wrap-distance-bottom:0.0pt;z-index:251659264;o:allowoverlap:true;o:allowincell:true;mso-position-horizontal-relative:margin;margin-left:205.4pt;mso-position-horizontal:absolute;mso-position-vertical-relative:text;margin-top:-31.0pt;mso-position-vertical:absolute;width:56.7pt;height:75.3pt;">
                <v:path textboxrect="0,0,0,0"/>
                <v:imagedata r:id="rId9" o:title=""/>
              </v:shape>
            </w:pict>
          </mc:Fallback>
        </mc:AlternateContent>
      </w:r>
      <w:r/>
    </w:p>
    <w:p>
      <w:pPr>
        <w:tabs>
          <w:tab w:val="left" w:pos="1185" w:leader="none"/>
        </w:tabs>
        <w:rPr>
          <w:sz w:val="28"/>
          <w:szCs w:val="20"/>
          <w:lang w:eastAsia="ru-RU"/>
        </w:rPr>
      </w:pPr>
      <w:r>
        <w:rPr>
          <w:sz w:val="28"/>
          <w:szCs w:val="20"/>
          <w:lang w:eastAsia="ru-RU"/>
        </w:rPr>
        <w:tab/>
      </w:r>
      <w:r/>
    </w:p>
    <w:tbl>
      <w:tblPr>
        <w:tblW w:w="10180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80"/>
      </w:tblGrid>
      <w:tr>
        <w:trPr>
          <w:jc w:val="center"/>
          <w:trHeight w:val="250" w:hRule="exact"/>
        </w:trPr>
        <w:tc>
          <w:tcPr>
            <w:tcW w:w="10180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0"/>
                <w:lang w:eastAsia="ru-RU"/>
              </w:rPr>
            </w:pPr>
            <w:r>
              <w:rPr>
                <w:b/>
                <w:sz w:val="28"/>
                <w:szCs w:val="20"/>
                <w:lang w:eastAsia="ru-RU"/>
              </w:rPr>
            </w:r>
            <w:r/>
          </w:p>
        </w:tc>
      </w:tr>
      <w:tr>
        <w:trPr>
          <w:jc w:val="center"/>
          <w:trHeight w:val="408"/>
        </w:trPr>
        <w:tc>
          <w:tcPr>
            <w:tcW w:w="10180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МИНИСТЕРСТВО </w:t>
            </w:r>
            <w:r>
              <w:rPr>
                <w:b/>
                <w:sz w:val="28"/>
                <w:szCs w:val="28"/>
              </w:rPr>
              <w:t xml:space="preserve">ПО ТАРИФНОМУ РЕГУЛИРОВАНИЮ</w:t>
            </w:r>
            <w:r>
              <w:rPr>
                <w:b/>
                <w:sz w:val="28"/>
                <w:szCs w:val="28"/>
              </w:rPr>
              <w:t xml:space="preserve"> </w:t>
            </w:r>
            <w:r/>
          </w:p>
          <w:p>
            <w:pPr>
              <w:jc w:val="center"/>
              <w:rPr>
                <w:b/>
                <w:sz w:val="36"/>
                <w:szCs w:val="20"/>
                <w:lang w:eastAsia="ru-RU"/>
              </w:rPr>
            </w:pPr>
            <w:r>
              <w:rPr>
                <w:b/>
                <w:sz w:val="28"/>
                <w:szCs w:val="28"/>
              </w:rPr>
              <w:t xml:space="preserve">И</w:t>
            </w:r>
            <w:r>
              <w:rPr>
                <w:b/>
                <w:sz w:val="28"/>
                <w:szCs w:val="20"/>
                <w:lang w:eastAsia="ru-RU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ГОСУДАРСТВЕННЫМ ЗАКУПКАМ</w:t>
            </w:r>
            <w:r>
              <w:rPr>
                <w:b/>
                <w:sz w:val="28"/>
                <w:szCs w:val="20"/>
                <w:lang w:eastAsia="ru-RU"/>
              </w:rPr>
              <w:t xml:space="preserve"> ПЕНЗЕНСКОЙ ОБЛАСТИ</w:t>
            </w:r>
            <w:r/>
          </w:p>
        </w:tc>
      </w:tr>
      <w:tr>
        <w:trPr>
          <w:jc w:val="center"/>
          <w:trHeight w:val="250" w:hRule="exact"/>
        </w:trPr>
        <w:tc>
          <w:tcPr>
            <w:tcW w:w="10180" w:type="dxa"/>
            <w:textDirection w:val="lrTb"/>
            <w:noWrap w:val="false"/>
          </w:tcPr>
          <w:p>
            <w:pPr>
              <w:jc w:val="center"/>
              <w:spacing w:after="120" w:before="12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  <w:r/>
          </w:p>
        </w:tc>
      </w:tr>
      <w:tr>
        <w:trPr>
          <w:jc w:val="center"/>
          <w:trHeight w:val="375"/>
        </w:trPr>
        <w:tc>
          <w:tcPr>
            <w:tcW w:w="10180" w:type="dxa"/>
            <w:textDirection w:val="lrTb"/>
            <w:noWrap w:val="false"/>
          </w:tcPr>
          <w:p>
            <w:pPr>
              <w:jc w:val="center"/>
              <w:keepNext/>
              <w:spacing w:after="240" w:before="120"/>
              <w:rPr>
                <w:b/>
                <w:sz w:val="32"/>
                <w:szCs w:val="32"/>
                <w:lang w:eastAsia="ru-RU"/>
              </w:rPr>
              <w:outlineLvl w:val="2"/>
            </w:pPr>
            <w:r>
              <w:rPr>
                <w:b/>
                <w:sz w:val="32"/>
                <w:szCs w:val="32"/>
                <w:lang w:eastAsia="ru-RU"/>
              </w:rPr>
              <w:t xml:space="preserve">П</w:t>
            </w:r>
            <w:r>
              <w:rPr>
                <w:b/>
                <w:sz w:val="32"/>
                <w:szCs w:val="32"/>
                <w:lang w:eastAsia="ru-RU"/>
              </w:rPr>
              <w:t xml:space="preserve"> Р И К А З </w:t>
            </w:r>
            <w:r/>
          </w:p>
        </w:tc>
      </w:tr>
      <w:tr>
        <w:trPr>
          <w:jc w:val="center"/>
          <w:trHeight w:val="50" w:hRule="exact"/>
        </w:trPr>
        <w:tc>
          <w:tcPr>
            <w:tcW w:w="10180" w:type="dxa"/>
            <w:vAlign w:val="center"/>
            <w:textDirection w:val="lrTb"/>
            <w:noWrap w:val="false"/>
          </w:tcPr>
          <w:p>
            <w:pPr>
              <w:jc w:val="center"/>
              <w:keepNext/>
              <w:rPr>
                <w:b/>
                <w:sz w:val="40"/>
                <w:szCs w:val="20"/>
                <w:lang w:eastAsia="ru-RU"/>
              </w:rPr>
              <w:outlineLvl w:val="2"/>
            </w:pPr>
            <w:r>
              <w:rPr>
                <w:b/>
                <w:sz w:val="40"/>
                <w:szCs w:val="20"/>
                <w:lang w:eastAsia="ru-RU"/>
              </w:rPr>
            </w:r>
            <w:r/>
          </w:p>
        </w:tc>
      </w:tr>
    </w:tbl>
    <w:p>
      <w:pPr>
        <w:rPr>
          <w:vanish/>
          <w:sz w:val="4"/>
          <w:szCs w:val="4"/>
        </w:rPr>
      </w:pPr>
      <w:r>
        <w:rPr>
          <w:vanish/>
          <w:sz w:val="4"/>
          <w:szCs w:val="4"/>
        </w:rPr>
      </w:r>
      <w:r/>
    </w:p>
    <w:tbl>
      <w:tblPr>
        <w:tblpPr w:horzAnchor="margin" w:tblpXSpec="center" w:vertAnchor="text" w:tblpY="66" w:leftFromText="180" w:topFromText="0" w:rightFromText="180" w:bottomFromText="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835"/>
        <w:gridCol w:w="397"/>
        <w:gridCol w:w="1304"/>
      </w:tblGrid>
      <w:tr>
        <w:trPr/>
        <w:tc>
          <w:tcPr>
            <w:tcW w:w="42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 xml:space="preserve">от</w:t>
            </w:r>
            <w:r/>
          </w:p>
        </w:tc>
        <w:tc>
          <w:tcPr>
            <w:tcBorders>
              <w:bottom w:val="single" w:sz="6" w:space="0" w:color="auto"/>
            </w:tcBorders>
            <w:tcW w:w="2835" w:type="dxa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28.05.2026</w:t>
            </w:r>
            <w:r/>
          </w:p>
        </w:tc>
        <w:tc>
          <w:tcPr>
            <w:tcW w:w="397" w:type="dxa"/>
            <w:textDirection w:val="lrTb"/>
            <w:noWrap w:val="false"/>
          </w:tcPr>
          <w:p>
            <w:pPr>
              <w:jc w:val="center"/>
              <w:rPr>
                <w:sz w:val="28"/>
                <w:highlight w:val="yellow"/>
                <w:lang w:eastAsia="ru-RU"/>
              </w:rPr>
            </w:pPr>
            <w:r>
              <w:rPr>
                <w:sz w:val="28"/>
                <w:lang w:eastAsia="ru-RU"/>
              </w:rPr>
              <w:t xml:space="preserve">№</w:t>
            </w:r>
            <w:r/>
          </w:p>
        </w:tc>
        <w:tc>
          <w:tcPr>
            <w:tcBorders>
              <w:bottom w:val="single" w:sz="6" w:space="0" w:color="auto"/>
            </w:tcBorders>
            <w:tcW w:w="1304" w:type="dxa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  <w:highlight w:val="yellow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31-39</w:t>
            </w:r>
            <w:r/>
          </w:p>
        </w:tc>
      </w:tr>
      <w:tr>
        <w:trPr/>
        <w:tc>
          <w:tcPr>
            <w:gridSpan w:val="4"/>
            <w:tcW w:w="4962" w:type="dxa"/>
            <w:textDirection w:val="lrTb"/>
            <w:noWrap w:val="false"/>
          </w:tcPr>
          <w:p>
            <w:pPr>
              <w:jc w:val="center"/>
              <w:rPr>
                <w:sz w:val="4"/>
                <w:szCs w:val="4"/>
                <w:lang w:eastAsia="ru-RU"/>
              </w:rPr>
            </w:pPr>
            <w:r>
              <w:rPr>
                <w:sz w:val="4"/>
                <w:szCs w:val="4"/>
                <w:lang w:eastAsia="ru-RU"/>
              </w:rPr>
            </w:r>
            <w:r/>
          </w:p>
          <w:p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г. Пенза</w:t>
            </w:r>
            <w:r/>
          </w:p>
        </w:tc>
      </w:tr>
    </w:tbl>
    <w:p>
      <w:pPr>
        <w:jc w:val="center"/>
        <w:rPr>
          <w:lang w:eastAsia="ru-RU"/>
        </w:rPr>
      </w:pPr>
      <w:r>
        <w:rPr>
          <w:lang w:eastAsia="ru-RU"/>
        </w:rPr>
      </w:r>
      <w:r/>
    </w:p>
    <w:p>
      <w:pPr>
        <w:jc w:val="center"/>
        <w:rPr>
          <w:lang w:eastAsia="ru-RU"/>
        </w:rPr>
      </w:pPr>
      <w:r>
        <w:rPr>
          <w:lang w:eastAsia="ru-RU"/>
        </w:rPr>
      </w:r>
      <w:r/>
    </w:p>
    <w:p>
      <w:pPr>
        <w:jc w:val="center"/>
        <w:keepNext/>
        <w:rPr>
          <w:lang w:eastAsia="ru-RU"/>
        </w:rPr>
        <w:outlineLvl w:val="2"/>
      </w:pPr>
      <w:r>
        <w:rPr>
          <w:lang w:eastAsia="ru-RU"/>
        </w:rPr>
      </w:r>
      <w:r/>
    </w:p>
    <w:p>
      <w:pPr>
        <w:ind w:left="34" w:right="-6"/>
        <w:jc w:val="center"/>
        <w:keepNext/>
        <w:rPr>
          <w:b/>
          <w:sz w:val="28"/>
          <w:szCs w:val="28"/>
          <w:lang w:eastAsia="ru-RU"/>
        </w:rPr>
        <w:outlineLvl w:val="2"/>
      </w:pPr>
      <w:r>
        <w:rPr>
          <w:b/>
          <w:sz w:val="28"/>
          <w:szCs w:val="28"/>
          <w:lang w:eastAsia="ru-RU"/>
        </w:rPr>
      </w:r>
      <w:r/>
    </w:p>
    <w:p>
      <w:pPr>
        <w:ind w:left="-284" w:right="-28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установлении </w:t>
      </w:r>
      <w:r>
        <w:rPr>
          <w:b/>
          <w:sz w:val="28"/>
          <w:szCs w:val="28"/>
        </w:rPr>
        <w:t xml:space="preserve">тарифов на тепловую энергию (мощность), поставляемую потребителям </w:t>
      </w:r>
      <w:r>
        <w:rPr>
          <w:b/>
          <w:sz w:val="28"/>
          <w:szCs w:val="28"/>
        </w:rPr>
        <w:t xml:space="preserve">ООО «Союз» на территории Яснополянского сельсовета Кузнецкого района Пензенской области, на долгосрочный период регулирования 2026-2030 годов</w:t>
      </w:r>
      <w:r/>
    </w:p>
    <w:p>
      <w:pPr>
        <w:jc w:val="center"/>
        <w:rPr>
          <w:b/>
          <w:sz w:val="27"/>
          <w:szCs w:val="27"/>
          <w:highlight w:val="yellow"/>
          <w:lang w:eastAsia="ru-RU"/>
        </w:rPr>
      </w:pPr>
      <w:r>
        <w:rPr>
          <w:b/>
          <w:sz w:val="27"/>
          <w:szCs w:val="27"/>
          <w:highlight w:val="yellow"/>
          <w:lang w:eastAsia="ru-RU"/>
        </w:rPr>
      </w:r>
      <w:r/>
    </w:p>
    <w:p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Федеральным законом от 27.07.2010 № 190-ФЗ «О теплоснабжении» </w:t>
      </w:r>
      <w:bookmarkStart w:id="0" w:name="_Hlk152942271"/>
      <w:r>
        <w:rPr>
          <w:color w:val="000000"/>
          <w:sz w:val="28"/>
          <w:szCs w:val="28"/>
        </w:rPr>
        <w:t xml:space="preserve">(с последующими изменениями), постановлением Правительства</w:t>
      </w:r>
      <w:bookmarkEnd w:id="0"/>
      <w:r>
        <w:rPr>
          <w:color w:val="000000"/>
          <w:sz w:val="28"/>
          <w:szCs w:val="28"/>
        </w:rPr>
        <w:t xml:space="preserve"> Российской Федерации от 22.10.2012 № 1075 «О ценообразовании в сфер</w:t>
      </w:r>
      <w:r>
        <w:rPr>
          <w:color w:val="000000"/>
          <w:sz w:val="28"/>
          <w:szCs w:val="28"/>
        </w:rPr>
        <w:t xml:space="preserve">е теплоснабжения» (с последующими изменениями), приказом ФСТ России от 07.06.2013 № 163 «Об утверждении регламента открытия дел об установлении регулируемых цен (тарифов) и отмене регулирования тарифов в сфере теплоснабжения» (с последующими изменениями), </w:t>
      </w:r>
      <w:r>
        <w:rPr>
          <w:sz w:val="28"/>
          <w:szCs w:val="28"/>
        </w:rPr>
        <w:t xml:space="preserve">Положением о Министерстве по тарифному регулированию</w:t>
      </w:r>
      <w:r>
        <w:rPr>
          <w:sz w:val="28"/>
          <w:szCs w:val="28"/>
        </w:rPr>
        <w:t xml:space="preserve"> и государственным закупкам Пензенской области, утвержденным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остановлением Правительства Пензенской области от 17.02.2026 № 111-пП (с последующими изменениями), на основании протокола заседания Правления Министерства по тарифному регулированию и государственным закупкам Пензенской области </w:t>
      </w:r>
      <w:r>
        <w:rPr>
          <w:sz w:val="28"/>
          <w:szCs w:val="28"/>
        </w:rPr>
        <w:t xml:space="preserve">от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28</w:t>
      </w:r>
      <w:r>
        <w:rPr>
          <w:sz w:val="28"/>
          <w:szCs w:val="28"/>
        </w:rPr>
        <w:t xml:space="preserve"> мая </w:t>
      </w:r>
      <w:r>
        <w:rPr>
          <w:sz w:val="28"/>
          <w:szCs w:val="28"/>
        </w:rPr>
        <w:t xml:space="preserve">2026</w:t>
      </w:r>
      <w:r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17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</w:t>
      </w:r>
      <w:r>
        <w:rPr>
          <w:b/>
          <w:sz w:val="28"/>
          <w:szCs w:val="28"/>
        </w:rPr>
        <w:t xml:space="preserve"> р и к а з ы в а ю</w:t>
      </w:r>
      <w:r>
        <w:rPr>
          <w:sz w:val="28"/>
          <w:szCs w:val="28"/>
        </w:rPr>
        <w:t xml:space="preserve">:</w:t>
      </w:r>
      <w:r/>
    </w:p>
    <w:p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  <w:lang w:eastAsia="ru-RU"/>
        </w:rPr>
        <w:t xml:space="preserve">1. </w:t>
      </w:r>
      <w:r>
        <w:rPr>
          <w:color w:val="000000"/>
          <w:sz w:val="28"/>
          <w:szCs w:val="28"/>
        </w:rPr>
        <w:t xml:space="preserve">Установить долгосрочные параметры регулирования на долгосрочный период регулирования 2026-2030 годов для </w:t>
      </w:r>
      <w:r>
        <w:rPr>
          <w:sz w:val="28"/>
          <w:szCs w:val="28"/>
          <w:lang w:eastAsia="ru-RU"/>
        </w:rPr>
        <w:t xml:space="preserve">ООО «Союз» на территории Яснополянского сельсовета Кузнецкого района Пензенской области</w:t>
      </w:r>
      <w:r>
        <w:rPr>
          <w:sz w:val="28"/>
          <w:szCs w:val="28"/>
          <w:lang w:eastAsia="ru-RU"/>
        </w:rPr>
        <w:t xml:space="preserve"> </w:t>
      </w:r>
      <w:r>
        <w:rPr>
          <w:color w:val="000000"/>
          <w:sz w:val="28"/>
          <w:szCs w:val="28"/>
        </w:rPr>
        <w:t xml:space="preserve">для формирования тарифов на тепловую энергию (мощность) с использованием метода индексации установленных тарифов согласно Приложению № 1 к настоящему приказу.</w:t>
      </w:r>
      <w:r/>
    </w:p>
    <w:p>
      <w:pPr>
        <w:pStyle w:val="459"/>
        <w:ind w:firstLine="709"/>
        <w:jc w:val="both"/>
        <w:tabs>
          <w:tab w:val="left" w:pos="567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2. </w:t>
      </w:r>
      <w:r>
        <w:rPr>
          <w:sz w:val="28"/>
          <w:szCs w:val="28"/>
          <w:lang w:eastAsia="ru-RU"/>
        </w:rPr>
        <w:t xml:space="preserve">Установить тарифы на тепловую энергию (мощность), поставляемую потребителям </w:t>
      </w:r>
      <w:r>
        <w:rPr>
          <w:sz w:val="28"/>
          <w:szCs w:val="28"/>
          <w:lang w:eastAsia="ru-RU"/>
        </w:rPr>
        <w:t xml:space="preserve">ООО «Союз» на территории Яснополянского сельсовета Кузнецкого района Пензенской области, на долгосрочный период регулирования 2026-2030 годов</w:t>
      </w:r>
      <w:r>
        <w:rPr>
          <w:sz w:val="28"/>
          <w:szCs w:val="28"/>
          <w:lang w:eastAsia="ru-RU"/>
        </w:rPr>
        <w:t xml:space="preserve"> согласно Приложению</w:t>
      </w:r>
      <w:r>
        <w:rPr>
          <w:sz w:val="28"/>
          <w:szCs w:val="28"/>
          <w:lang w:eastAsia="ru-RU"/>
        </w:rPr>
        <w:t xml:space="preserve"> № 2</w:t>
      </w:r>
      <w:r>
        <w:rPr>
          <w:sz w:val="28"/>
          <w:szCs w:val="28"/>
          <w:lang w:eastAsia="ru-RU"/>
        </w:rPr>
        <w:t xml:space="preserve"> к настоящему приказу.</w:t>
      </w:r>
      <w:r>
        <w:rPr>
          <w:sz w:val="28"/>
          <w:szCs w:val="28"/>
          <w:lang w:eastAsia="ru-RU"/>
        </w:rPr>
        <w:t xml:space="preserve"> </w:t>
      </w:r>
      <w:r/>
    </w:p>
    <w:p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  <w:lang w:eastAsia="ru-RU"/>
        </w:rPr>
        <w:t xml:space="preserve">3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>
        <w:rPr>
          <w:color w:val="000000"/>
          <w:sz w:val="28"/>
          <w:szCs w:val="28"/>
        </w:rPr>
        <w:t xml:space="preserve">Тарифы, установленные в пункте </w:t>
      </w:r>
      <w:r>
        <w:rPr>
          <w:color w:val="000000"/>
          <w:sz w:val="28"/>
          <w:szCs w:val="28"/>
        </w:rPr>
        <w:t xml:space="preserve">2</w:t>
      </w:r>
      <w:r>
        <w:rPr>
          <w:color w:val="000000"/>
          <w:sz w:val="28"/>
          <w:szCs w:val="28"/>
        </w:rPr>
        <w:t xml:space="preserve"> настоящего приказа, действуют с </w:t>
      </w:r>
      <w:r>
        <w:rPr>
          <w:color w:val="000000"/>
          <w:sz w:val="28"/>
          <w:szCs w:val="28"/>
        </w:rPr>
        <w:t xml:space="preserve">28.05</w:t>
      </w:r>
      <w:r>
        <w:rPr>
          <w:color w:val="000000"/>
          <w:sz w:val="28"/>
          <w:szCs w:val="28"/>
        </w:rPr>
        <w:t xml:space="preserve">.2026 по 31.12.20</w:t>
      </w:r>
      <w:r>
        <w:rPr>
          <w:color w:val="000000"/>
          <w:sz w:val="28"/>
          <w:szCs w:val="28"/>
        </w:rPr>
        <w:t xml:space="preserve">30</w:t>
      </w:r>
      <w:r>
        <w:rPr>
          <w:color w:val="000000"/>
          <w:sz w:val="28"/>
          <w:szCs w:val="28"/>
        </w:rPr>
        <w:t xml:space="preserve">.</w:t>
      </w:r>
      <w:r/>
    </w:p>
    <w:p>
      <w:pPr>
        <w:ind w:firstLine="709"/>
        <w:jc w:val="both"/>
        <w:tabs>
          <w:tab w:val="left" w:pos="993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</w:t>
      </w:r>
      <w:r>
        <w:rPr>
          <w:color w:val="000000"/>
          <w:sz w:val="28"/>
          <w:szCs w:val="28"/>
        </w:rPr>
        <w:t xml:space="preserve">. Настоящий приказ разместить (опубликовать) на официальном сайте Министерства по тарифному регулированию и государственным закупкам Пензенской области в информационно-телекоммуникационной сети «Интернет» и «Официальном </w:t>
      </w:r>
      <w:r>
        <w:rPr>
          <w:color w:val="000000"/>
          <w:sz w:val="28"/>
          <w:szCs w:val="28"/>
        </w:rPr>
        <w:t xml:space="preserve">интернет-портале</w:t>
      </w:r>
      <w:r>
        <w:rPr>
          <w:color w:val="000000"/>
          <w:sz w:val="28"/>
          <w:szCs w:val="28"/>
        </w:rPr>
        <w:t xml:space="preserve"> правовой информации» (www.pravo.gov.ru).</w:t>
      </w:r>
      <w:r/>
    </w:p>
    <w:p>
      <w:pPr>
        <w:pStyle w:val="459"/>
        <w:ind w:firstLine="709"/>
        <w:jc w:val="both"/>
        <w:tabs>
          <w:tab w:val="left" w:pos="567" w:leader="none"/>
          <w:tab w:val="left" w:pos="85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5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eastAsia="ru-RU"/>
        </w:rPr>
        <w:tab/>
        <w:t xml:space="preserve">Настоящий приказ вступает в силу с </w:t>
      </w:r>
      <w:r>
        <w:rPr>
          <w:sz w:val="28"/>
          <w:szCs w:val="28"/>
          <w:lang w:eastAsia="ru-RU"/>
        </w:rPr>
        <w:t xml:space="preserve">28 мая</w:t>
      </w:r>
      <w:r>
        <w:rPr>
          <w:sz w:val="28"/>
          <w:szCs w:val="28"/>
          <w:lang w:eastAsia="ru-RU"/>
        </w:rPr>
        <w:t xml:space="preserve"> 2026 года.</w:t>
      </w:r>
      <w:r/>
    </w:p>
    <w:p>
      <w:pPr>
        <w:pStyle w:val="459"/>
        <w:ind w:firstLine="709"/>
        <w:jc w:val="both"/>
        <w:tabs>
          <w:tab w:val="left" w:pos="567" w:leader="none"/>
          <w:tab w:val="left" w:pos="85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6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 xml:space="preserve">Контроль за</w:t>
      </w:r>
      <w:r>
        <w:rPr>
          <w:sz w:val="28"/>
          <w:szCs w:val="28"/>
          <w:lang w:eastAsia="ru-RU"/>
        </w:rPr>
        <w:t xml:space="preserve"> исполнением настоящего приказа оставляю за собой</w:t>
      </w:r>
      <w:r>
        <w:rPr>
          <w:sz w:val="28"/>
          <w:szCs w:val="28"/>
          <w:lang w:eastAsia="ru-RU"/>
        </w:rPr>
        <w:t xml:space="preserve">.</w:t>
      </w:r>
      <w:r/>
    </w:p>
    <w:p>
      <w:pPr>
        <w:jc w:val="both"/>
        <w:tabs>
          <w:tab w:val="left" w:pos="0" w:leader="none"/>
          <w:tab w:val="left" w:pos="45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jc w:val="both"/>
        <w:tabs>
          <w:tab w:val="left" w:pos="0" w:leader="none"/>
          <w:tab w:val="left" w:pos="45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jc w:val="both"/>
        <w:tabs>
          <w:tab w:val="left" w:pos="0" w:leader="none"/>
          <w:tab w:val="left" w:pos="45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jc w:val="both"/>
        <w:tabs>
          <w:tab w:val="left" w:pos="0" w:leader="none"/>
          <w:tab w:val="left" w:pos="45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Министр                                                                                      Д.И. </w:t>
      </w:r>
      <w:r>
        <w:rPr>
          <w:sz w:val="28"/>
          <w:szCs w:val="28"/>
        </w:rPr>
        <w:t xml:space="preserve">Сагайдачный</w:t>
      </w:r>
      <w:r/>
    </w:p>
    <w:p>
      <w:pPr>
        <w:pStyle w:val="460"/>
        <w:jc w:val="right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</w:r>
      <w:r/>
    </w:p>
    <w:p>
      <w:pPr>
        <w:pStyle w:val="460"/>
        <w:jc w:val="right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</w:r>
      <w:r/>
    </w:p>
    <w:p>
      <w:pPr>
        <w:pStyle w:val="460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/>
    </w:p>
    <w:p>
      <w:pPr>
        <w:pStyle w:val="460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/>
    </w:p>
    <w:p>
      <w:pPr>
        <w:pStyle w:val="460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/>
    </w:p>
    <w:p>
      <w:pPr>
        <w:pStyle w:val="460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/>
    </w:p>
    <w:p>
      <w:pPr>
        <w:pStyle w:val="460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/>
    </w:p>
    <w:p>
      <w:pPr>
        <w:pStyle w:val="460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/>
    </w:p>
    <w:p>
      <w:pPr>
        <w:pStyle w:val="460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/>
    </w:p>
    <w:p>
      <w:pPr>
        <w:pStyle w:val="460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/>
    </w:p>
    <w:p>
      <w:pPr>
        <w:pStyle w:val="460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/>
    </w:p>
    <w:p>
      <w:pPr>
        <w:pStyle w:val="460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/>
    </w:p>
    <w:p>
      <w:pPr>
        <w:pStyle w:val="460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/>
    </w:p>
    <w:p>
      <w:pPr>
        <w:pStyle w:val="460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/>
    </w:p>
    <w:p>
      <w:pPr>
        <w:pStyle w:val="460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/>
    </w:p>
    <w:p>
      <w:pPr>
        <w:pStyle w:val="460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/>
    </w:p>
    <w:p>
      <w:pPr>
        <w:pStyle w:val="460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/>
    </w:p>
    <w:p>
      <w:pPr>
        <w:pStyle w:val="460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/>
    </w:p>
    <w:p>
      <w:pPr>
        <w:pStyle w:val="460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/>
    </w:p>
    <w:p>
      <w:pPr>
        <w:pStyle w:val="460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/>
    </w:p>
    <w:p>
      <w:pPr>
        <w:pStyle w:val="460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/>
    </w:p>
    <w:p>
      <w:pPr>
        <w:pStyle w:val="460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/>
    </w:p>
    <w:p>
      <w:pPr>
        <w:pStyle w:val="460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/>
    </w:p>
    <w:p>
      <w:pPr>
        <w:pStyle w:val="460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/>
    </w:p>
    <w:p>
      <w:pPr>
        <w:pStyle w:val="460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/>
    </w:p>
    <w:p>
      <w:pPr>
        <w:pStyle w:val="460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/>
    </w:p>
    <w:p>
      <w:pPr>
        <w:pStyle w:val="460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/>
    </w:p>
    <w:p>
      <w:pPr>
        <w:pStyle w:val="460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/>
    </w:p>
    <w:p>
      <w:pPr>
        <w:pStyle w:val="460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/>
    </w:p>
    <w:p>
      <w:pPr>
        <w:pStyle w:val="460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/>
    </w:p>
    <w:p>
      <w:pPr>
        <w:pStyle w:val="460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/>
    </w:p>
    <w:p>
      <w:pPr>
        <w:pStyle w:val="460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/>
    </w:p>
    <w:p>
      <w:pPr>
        <w:pStyle w:val="460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/>
    </w:p>
    <w:p>
      <w:pPr>
        <w:pStyle w:val="460"/>
        <w:jc w:val="right"/>
        <w:rPr>
          <w:sz w:val="28"/>
          <w:szCs w:val="28"/>
          <w:lang w:val="ru-RU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9" w:footer="709" w:gutter="0"/>
          <w:cols w:num="1" w:sep="0" w:space="708" w:equalWidth="1"/>
          <w:docGrid w:linePitch="360"/>
        </w:sectPr>
      </w:pPr>
      <w:r>
        <w:rPr>
          <w:sz w:val="28"/>
          <w:szCs w:val="28"/>
          <w:lang w:val="ru-RU"/>
        </w:rPr>
      </w:r>
      <w:r/>
    </w:p>
    <w:p>
      <w:pPr>
        <w:pStyle w:val="46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</w:t>
      </w:r>
      <w:r>
        <w:rPr>
          <w:sz w:val="28"/>
          <w:szCs w:val="28"/>
          <w:lang w:val="ru-RU"/>
        </w:rPr>
        <w:t xml:space="preserve"> № 1</w:t>
      </w:r>
      <w:r>
        <w:rPr>
          <w:sz w:val="28"/>
          <w:szCs w:val="28"/>
        </w:rPr>
        <w:t xml:space="preserve"> к приказ</w:t>
      </w:r>
      <w:r>
        <w:rPr>
          <w:sz w:val="28"/>
          <w:szCs w:val="28"/>
          <w:lang w:val="ru-RU"/>
        </w:rPr>
        <w:t xml:space="preserve">у</w:t>
      </w:r>
      <w:r>
        <w:rPr>
          <w:sz w:val="28"/>
          <w:szCs w:val="28"/>
        </w:rPr>
        <w:t xml:space="preserve"> </w:t>
      </w:r>
      <w:r/>
    </w:p>
    <w:p>
      <w:pPr>
        <w:ind w:right="-1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Министерства по тарифному регулированию</w:t>
      </w:r>
      <w:r/>
    </w:p>
    <w:p>
      <w:pPr>
        <w:ind w:right="-1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и государственным закупкам Пензенской области</w:t>
      </w:r>
      <w:r/>
    </w:p>
    <w:p>
      <w:pPr>
        <w:pStyle w:val="460"/>
        <w:jc w:val="right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от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28.05.2026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№ </w:t>
      </w:r>
      <w:r>
        <w:rPr>
          <w:sz w:val="28"/>
          <w:szCs w:val="28"/>
          <w:lang w:val="ru-RU"/>
        </w:rPr>
        <w:t xml:space="preserve">31-39</w:t>
      </w:r>
      <w:r/>
    </w:p>
    <w:p>
      <w:pPr>
        <w:pStyle w:val="460"/>
        <w:jc w:val="right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ДОЛГОСРОЧНЫЕ ПАРАМЕТРЫ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РЕГУЛИРОВАНИЯ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ООО «СОЮЗ» НА ТЕРРИТОРИИ </w:t>
      </w:r>
      <w:r>
        <w:rPr>
          <w:sz w:val="28"/>
          <w:szCs w:val="28"/>
        </w:rPr>
        <w:t xml:space="preserve">ЯСНОПОЛЯНСКОГО СЕЛЬСОВЕТА КУЗНЕЦКОГО РАЙОНА ПЕНЗЕНСКОЙ ОБЛАСТИ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УСТАНАВЛИВАЕМЫЕ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ДОЛГОСРОЧНЫЙ ПЕРИОД РЕГУЛИРОВАНИЯ 2026-2030 ГОДОВ </w:t>
      </w:r>
      <w:r>
        <w:rPr>
          <w:sz w:val="28"/>
          <w:szCs w:val="28"/>
        </w:rPr>
        <w:t xml:space="preserve">ДЛЯ ФОРМИРОВАНИЯ ТАРИФОВ НА ТЕПЛОВУЮ ЭНЕРГИЮ (МОЩНОСТЬ) С ИСПОЛЬЗОВАНИЕМ МЕТОДА ИНДЕКСАЦИИ УСТАНОВЛЕННЫХ ТАРИФОВ</w:t>
      </w:r>
      <w:r/>
    </w:p>
    <w:tbl>
      <w:tblPr>
        <w:tblpPr w:horzAnchor="text" w:tblpX="-146" w:vertAnchor="text" w:tblpY="1" w:leftFromText="180" w:topFromText="0" w:rightFromText="180" w:bottomFromText="0"/>
        <w:tblW w:w="5238" w:type="pct"/>
        <w:tblBorders>
          <w:left w:val="single" w:color="000000" w:sz="4" w:space="0"/>
          <w:top w:val="single" w:color="000000" w:sz="4" w:space="0"/>
          <w:right w:val="single" w:color="000000" w:sz="4" w:space="0"/>
          <w:bottom w:val="single" w:color="000000" w:sz="4" w:space="0"/>
          <w:insideV w:val="single" w:color="000000" w:sz="4" w:space="0"/>
          <w:insideH w:val="single" w:color="000000" w:sz="4" w:space="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7"/>
        <w:gridCol w:w="1311"/>
        <w:gridCol w:w="904"/>
        <w:gridCol w:w="1332"/>
        <w:gridCol w:w="1463"/>
        <w:gridCol w:w="1259"/>
        <w:gridCol w:w="1204"/>
        <w:gridCol w:w="1326"/>
        <w:gridCol w:w="1005"/>
        <w:gridCol w:w="1527"/>
        <w:gridCol w:w="907"/>
        <w:gridCol w:w="1585"/>
        <w:gridCol w:w="1014"/>
      </w:tblGrid>
      <w:tr>
        <w:trPr>
          <w:trHeight w:val="618"/>
        </w:trPr>
        <w:tc>
          <w:tcPr>
            <w:tcW w:w="143" w:type="pct"/>
            <w:vAlign w:val="center"/>
            <w:vMerge w:val="restart"/>
            <w:textDirection w:val="lrTb"/>
            <w:noWrap w:val="false"/>
          </w:tcPr>
          <w:p>
            <w:pPr>
              <w:pStyle w:val="464"/>
              <w:ind w:left="-57" w:right="-57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№</w:t>
            </w:r>
            <w:r>
              <w:rPr>
                <w:rFonts w:eastAsia="Calibri"/>
                <w:spacing w:val="-44"/>
                <w:sz w:val="18"/>
                <w:szCs w:val="18"/>
              </w:rPr>
              <w:t xml:space="preserve"> </w:t>
            </w:r>
            <w:r>
              <w:rPr>
                <w:rFonts w:eastAsia="Calibri"/>
                <w:spacing w:val="-44"/>
                <w:sz w:val="18"/>
                <w:szCs w:val="18"/>
              </w:rPr>
              <w:br/>
            </w:r>
            <w:r>
              <w:rPr>
                <w:rFonts w:eastAsia="Calibri"/>
                <w:sz w:val="18"/>
                <w:szCs w:val="18"/>
              </w:rPr>
              <w:t xml:space="preserve">п</w:t>
            </w:r>
            <w:r>
              <w:rPr>
                <w:rFonts w:eastAsia="Calibri"/>
                <w:sz w:val="18"/>
                <w:szCs w:val="18"/>
              </w:rPr>
              <w:t xml:space="preserve">/</w:t>
            </w:r>
            <w:r>
              <w:rPr>
                <w:rFonts w:eastAsia="Calibri"/>
                <w:spacing w:val="-43"/>
                <w:sz w:val="18"/>
                <w:szCs w:val="18"/>
              </w:rPr>
              <w:t xml:space="preserve"> </w:t>
            </w:r>
            <w:r>
              <w:rPr>
                <w:rFonts w:eastAsia="Calibri"/>
                <w:sz w:val="18"/>
                <w:szCs w:val="18"/>
              </w:rPr>
              <w:t xml:space="preserve">п</w:t>
            </w:r>
            <w:r/>
          </w:p>
        </w:tc>
        <w:tc>
          <w:tcPr>
            <w:tcW w:w="429" w:type="pct"/>
            <w:vAlign w:val="center"/>
            <w:vMerge w:val="restart"/>
            <w:textDirection w:val="lrTb"/>
            <w:noWrap w:val="false"/>
          </w:tcPr>
          <w:p>
            <w:pPr>
              <w:pStyle w:val="464"/>
              <w:ind w:left="-57" w:right="-57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pacing w:val="-1"/>
                <w:sz w:val="18"/>
                <w:szCs w:val="18"/>
              </w:rPr>
              <w:t xml:space="preserve">Наименование</w:t>
            </w:r>
            <w:r>
              <w:rPr>
                <w:rFonts w:eastAsia="Calibri"/>
                <w:spacing w:val="-43"/>
                <w:sz w:val="18"/>
                <w:szCs w:val="18"/>
              </w:rPr>
              <w:t xml:space="preserve"> </w:t>
            </w:r>
            <w:r>
              <w:rPr>
                <w:rFonts w:eastAsia="Calibri"/>
                <w:sz w:val="18"/>
                <w:szCs w:val="18"/>
              </w:rPr>
              <w:t xml:space="preserve">регулируемой</w:t>
            </w:r>
            <w:r>
              <w:rPr>
                <w:rFonts w:eastAsia="Calibri"/>
                <w:sz w:val="18"/>
                <w:szCs w:val="18"/>
              </w:rPr>
              <w:t xml:space="preserve"> </w:t>
            </w:r>
            <w:r/>
          </w:p>
          <w:p>
            <w:pPr>
              <w:pStyle w:val="464"/>
              <w:ind w:left="-57" w:right="-57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pacing w:val="-43"/>
                <w:sz w:val="18"/>
                <w:szCs w:val="18"/>
              </w:rPr>
              <w:t xml:space="preserve"> </w:t>
            </w:r>
            <w:r>
              <w:rPr>
                <w:rFonts w:eastAsia="Calibri"/>
                <w:sz w:val="18"/>
                <w:szCs w:val="18"/>
              </w:rPr>
              <w:t xml:space="preserve">организации</w:t>
            </w:r>
            <w:r/>
          </w:p>
        </w:tc>
        <w:tc>
          <w:tcPr>
            <w:tcW w:w="296" w:type="pct"/>
            <w:vAlign w:val="center"/>
            <w:vMerge w:val="restart"/>
            <w:textDirection w:val="lrTb"/>
            <w:noWrap w:val="false"/>
          </w:tcPr>
          <w:p>
            <w:pPr>
              <w:pStyle w:val="464"/>
              <w:ind w:left="-12" w:right="-57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Год</w:t>
            </w:r>
            <w:r/>
          </w:p>
        </w:tc>
        <w:tc>
          <w:tcPr>
            <w:tcW w:w="436" w:type="pct"/>
            <w:vAlign w:val="center"/>
            <w:vMerge w:val="restart"/>
            <w:textDirection w:val="lrTb"/>
            <w:noWrap w:val="false"/>
          </w:tcPr>
          <w:p>
            <w:pPr>
              <w:pStyle w:val="464"/>
              <w:ind w:left="-57" w:right="-57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Базовый</w:t>
            </w:r>
            <w:r>
              <w:rPr>
                <w:rFonts w:eastAsia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Calibri"/>
                <w:spacing w:val="1"/>
                <w:sz w:val="18"/>
                <w:szCs w:val="18"/>
              </w:rPr>
              <w:br/>
            </w:r>
            <w:r>
              <w:rPr>
                <w:rFonts w:eastAsia="Calibri"/>
                <w:sz w:val="18"/>
                <w:szCs w:val="18"/>
              </w:rPr>
              <w:t xml:space="preserve">уровень</w:t>
            </w:r>
            <w:r>
              <w:rPr>
                <w:rFonts w:eastAsia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Calibri"/>
                <w:spacing w:val="-1"/>
                <w:sz w:val="18"/>
                <w:szCs w:val="18"/>
              </w:rPr>
              <w:t xml:space="preserve">операционны</w:t>
            </w:r>
            <w:r>
              <w:rPr>
                <w:rFonts w:eastAsia="Calibri"/>
                <w:spacing w:val="-42"/>
                <w:sz w:val="18"/>
                <w:szCs w:val="18"/>
              </w:rPr>
              <w:t xml:space="preserve"> </w:t>
            </w:r>
            <w:r>
              <w:rPr>
                <w:rFonts w:eastAsia="Calibri"/>
                <w:sz w:val="18"/>
                <w:szCs w:val="18"/>
              </w:rPr>
              <w:t xml:space="preserve">х</w:t>
            </w:r>
            <w:r>
              <w:rPr>
                <w:rFonts w:eastAsia="Calibri"/>
                <w:sz w:val="18"/>
                <w:szCs w:val="18"/>
              </w:rPr>
              <w:t xml:space="preserve"> расходов,</w:t>
            </w:r>
            <w:r>
              <w:rPr>
                <w:rFonts w:eastAsia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Calibri"/>
                <w:spacing w:val="1"/>
                <w:sz w:val="18"/>
                <w:szCs w:val="18"/>
              </w:rPr>
              <w:br/>
            </w:r>
            <w:r>
              <w:rPr>
                <w:rFonts w:eastAsia="Calibri"/>
                <w:sz w:val="18"/>
                <w:szCs w:val="18"/>
              </w:rPr>
              <w:t xml:space="preserve">тыс. руб.</w:t>
            </w:r>
            <w:r/>
          </w:p>
        </w:tc>
        <w:tc>
          <w:tcPr>
            <w:tcW w:w="479" w:type="pct"/>
            <w:vAlign w:val="center"/>
            <w:vMerge w:val="restart"/>
            <w:textDirection w:val="lrTb"/>
            <w:noWrap w:val="false"/>
          </w:tcPr>
          <w:p>
            <w:pPr>
              <w:pStyle w:val="464"/>
              <w:ind w:left="-57" w:right="-57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Индекс</w:t>
            </w:r>
            <w:r>
              <w:rPr>
                <w:rFonts w:eastAsia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Calibri"/>
                <w:sz w:val="18"/>
                <w:szCs w:val="18"/>
              </w:rPr>
              <w:t xml:space="preserve">эффекти</w:t>
            </w:r>
            <w:r>
              <w:rPr>
                <w:rFonts w:eastAsia="Calibri"/>
                <w:sz w:val="18"/>
                <w:szCs w:val="18"/>
              </w:rPr>
              <w:t xml:space="preserve">в</w:t>
            </w:r>
            <w:r>
              <w:rPr>
                <w:rFonts w:eastAsia="Calibri"/>
                <w:sz w:val="18"/>
                <w:szCs w:val="18"/>
              </w:rPr>
              <w:t xml:space="preserve">-</w:t>
            </w:r>
            <w:r>
              <w:rPr>
                <w:rFonts w:eastAsia="Calibri"/>
                <w:sz w:val="18"/>
                <w:szCs w:val="18"/>
              </w:rPr>
              <w:br/>
            </w:r>
            <w:r>
              <w:rPr>
                <w:rFonts w:eastAsia="Calibri"/>
                <w:sz w:val="18"/>
                <w:szCs w:val="18"/>
              </w:rPr>
              <w:t xml:space="preserve">ност</w:t>
            </w:r>
            <w:r>
              <w:rPr>
                <w:rFonts w:eastAsia="Calibri"/>
                <w:spacing w:val="-42"/>
                <w:sz w:val="18"/>
                <w:szCs w:val="18"/>
              </w:rPr>
              <w:t xml:space="preserve"> </w:t>
            </w:r>
            <w:r>
              <w:rPr>
                <w:rFonts w:eastAsia="Calibri"/>
                <w:sz w:val="18"/>
                <w:szCs w:val="18"/>
              </w:rPr>
              <w:t xml:space="preserve">и</w:t>
            </w:r>
            <w:r>
              <w:rPr>
                <w:rFonts w:eastAsia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Calibri"/>
                <w:spacing w:val="-1"/>
                <w:sz w:val="18"/>
                <w:szCs w:val="18"/>
              </w:rPr>
              <w:t xml:space="preserve">операционных</w:t>
            </w:r>
            <w:r>
              <w:rPr>
                <w:rFonts w:eastAsia="Calibri"/>
                <w:spacing w:val="-42"/>
                <w:sz w:val="18"/>
                <w:szCs w:val="18"/>
              </w:rPr>
              <w:t xml:space="preserve"> </w:t>
            </w:r>
            <w:r>
              <w:rPr>
                <w:rFonts w:eastAsia="Calibri"/>
                <w:sz w:val="18"/>
                <w:szCs w:val="18"/>
              </w:rPr>
              <w:t xml:space="preserve">расходов, %</w:t>
            </w:r>
            <w:r/>
          </w:p>
        </w:tc>
        <w:tc>
          <w:tcPr>
            <w:tcW w:w="412" w:type="pct"/>
            <w:vAlign w:val="center"/>
            <w:vMerge w:val="restart"/>
            <w:textDirection w:val="lrTb"/>
            <w:noWrap w:val="false"/>
          </w:tcPr>
          <w:p>
            <w:pPr>
              <w:pStyle w:val="464"/>
              <w:ind w:left="-57" w:right="-57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pacing w:val="-1"/>
                <w:sz w:val="18"/>
                <w:szCs w:val="18"/>
              </w:rPr>
              <w:t xml:space="preserve">Нормативны</w:t>
            </w:r>
            <w:r>
              <w:rPr>
                <w:rFonts w:eastAsia="Calibri"/>
                <w:spacing w:val="-42"/>
                <w:sz w:val="18"/>
                <w:szCs w:val="18"/>
              </w:rPr>
              <w:t xml:space="preserve"> </w:t>
            </w:r>
            <w:r>
              <w:rPr>
                <w:rFonts w:eastAsia="Calibri"/>
                <w:sz w:val="18"/>
                <w:szCs w:val="18"/>
              </w:rPr>
              <w:t xml:space="preserve">й</w:t>
            </w:r>
            <w:r>
              <w:rPr>
                <w:rFonts w:eastAsia="Calibri"/>
                <w:sz w:val="18"/>
                <w:szCs w:val="18"/>
              </w:rPr>
              <w:t xml:space="preserve"> уровень</w:t>
            </w:r>
            <w:r>
              <w:rPr>
                <w:rFonts w:eastAsia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Calibri"/>
                <w:sz w:val="18"/>
                <w:szCs w:val="18"/>
              </w:rPr>
              <w:t xml:space="preserve">прибыли,</w:t>
            </w:r>
            <w:r>
              <w:rPr>
                <w:rFonts w:eastAsia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eastAsia="Calibri"/>
                <w:sz w:val="18"/>
                <w:szCs w:val="18"/>
              </w:rPr>
              <w:t xml:space="preserve">%</w:t>
            </w:r>
            <w:r/>
          </w:p>
        </w:tc>
        <w:tc>
          <w:tcPr>
            <w:gridSpan w:val="2"/>
            <w:tcW w:w="828" w:type="pct"/>
            <w:vAlign w:val="center"/>
            <w:textDirection w:val="lrTb"/>
            <w:noWrap w:val="false"/>
          </w:tcPr>
          <w:p>
            <w:pPr>
              <w:pStyle w:val="464"/>
              <w:ind w:left="-57" w:right="-57"/>
              <w:jc w:val="center"/>
              <w:tabs>
                <w:tab w:val="left" w:pos="1965" w:leader="none"/>
              </w:tabs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pacing w:val="-1"/>
                <w:sz w:val="18"/>
                <w:szCs w:val="18"/>
              </w:rPr>
              <w:t xml:space="preserve">Уровень </w:t>
            </w:r>
            <w:r>
              <w:rPr>
                <w:rFonts w:eastAsia="Calibri"/>
                <w:sz w:val="18"/>
                <w:szCs w:val="18"/>
              </w:rPr>
              <w:t xml:space="preserve">надежности</w:t>
            </w:r>
            <w:r>
              <w:rPr>
                <w:rFonts w:eastAsia="Calibri"/>
                <w:spacing w:val="-42"/>
                <w:sz w:val="18"/>
                <w:szCs w:val="18"/>
              </w:rPr>
              <w:t xml:space="preserve"> </w:t>
            </w:r>
            <w:r>
              <w:rPr>
                <w:rFonts w:eastAsia="Calibri"/>
                <w:spacing w:val="-1"/>
                <w:sz w:val="18"/>
                <w:szCs w:val="18"/>
              </w:rPr>
              <w:t xml:space="preserve">теплоснабжения</w:t>
            </w:r>
            <w:r>
              <w:rPr>
                <w:rFonts w:eastAsia="Calibri"/>
                <w:spacing w:val="-2"/>
                <w:sz w:val="18"/>
                <w:szCs w:val="18"/>
              </w:rPr>
              <w:t xml:space="preserve"> </w:t>
            </w:r>
            <w:hyperlink r:id="rId10" w:tooltip="consultantplus://offline/ref%3D42284853478D02AAA189124CD4F4224ECA29ABB0A479D0D997BD59ED4E839D28A9A84F5203F8074F843306g9QBI" w:history="1">
              <w:r>
                <w:rPr>
                  <w:rFonts w:eastAsia="Calibri"/>
                  <w:sz w:val="18"/>
                  <w:szCs w:val="18"/>
                  <w:u w:val="single"/>
                </w:rPr>
                <w:t xml:space="preserve">&lt;*&gt;</w:t>
              </w:r>
            </w:hyperlink>
            <w:r/>
            <w:r/>
          </w:p>
        </w:tc>
        <w:tc>
          <w:tcPr>
            <w:gridSpan w:val="3"/>
            <w:tcW w:w="1126" w:type="pct"/>
            <w:vAlign w:val="center"/>
            <w:textDirection w:val="lrTb"/>
            <w:noWrap w:val="false"/>
          </w:tcPr>
          <w:p>
            <w:pPr>
              <w:pStyle w:val="464"/>
              <w:ind w:left="-57" w:right="-57" w:firstLine="6"/>
              <w:jc w:val="center"/>
              <w:tabs>
                <w:tab w:val="left" w:pos="1965" w:leader="none"/>
              </w:tabs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Показатели энергосбережения и</w:t>
            </w:r>
            <w:r>
              <w:rPr>
                <w:rFonts w:eastAsia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Calibri"/>
                <w:sz w:val="18"/>
                <w:szCs w:val="18"/>
              </w:rPr>
              <w:t xml:space="preserve">энергетической</w:t>
            </w:r>
            <w:r>
              <w:rPr>
                <w:rFonts w:eastAsia="Calibri"/>
                <w:spacing w:val="-8"/>
                <w:sz w:val="18"/>
                <w:szCs w:val="18"/>
              </w:rPr>
              <w:t xml:space="preserve"> </w:t>
            </w:r>
            <w:r>
              <w:rPr>
                <w:rFonts w:eastAsia="Calibri"/>
                <w:sz w:val="18"/>
                <w:szCs w:val="18"/>
              </w:rPr>
              <w:t xml:space="preserve">эффективности</w:t>
            </w:r>
            <w:r>
              <w:rPr>
                <w:rFonts w:eastAsia="Calibri"/>
                <w:spacing w:val="-4"/>
                <w:sz w:val="18"/>
                <w:szCs w:val="18"/>
              </w:rPr>
              <w:t xml:space="preserve"> </w:t>
            </w:r>
            <w:hyperlink r:id="rId11" w:tooltip="consultantplus://offline/ref%3D42284853478D02AAA189124CD4F4224ECA29ABB0A479D0D997BD59ED4E839D28A9A84F5203F8074F843306g9Q8I" w:history="1">
              <w:r>
                <w:rPr>
                  <w:rFonts w:eastAsia="Calibri"/>
                  <w:sz w:val="18"/>
                  <w:szCs w:val="18"/>
                  <w:u w:val="single"/>
                </w:rPr>
                <w:t xml:space="preserve">&lt;**&gt;</w:t>
              </w:r>
            </w:hyperlink>
            <w:r/>
            <w:r/>
          </w:p>
        </w:tc>
        <w:tc>
          <w:tcPr>
            <w:tcW w:w="519" w:type="pct"/>
            <w:vAlign w:val="center"/>
            <w:vMerge w:val="restart"/>
            <w:textDirection w:val="lrTb"/>
            <w:noWrap w:val="false"/>
          </w:tcPr>
          <w:p>
            <w:pPr>
              <w:pStyle w:val="464"/>
              <w:ind w:right="-57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Реализация</w:t>
            </w:r>
            <w:r>
              <w:rPr>
                <w:rFonts w:eastAsia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Calibri"/>
                <w:sz w:val="18"/>
                <w:szCs w:val="18"/>
              </w:rPr>
              <w:t xml:space="preserve">программ </w:t>
            </w:r>
            <w:r>
              <w:rPr>
                <w:rFonts w:eastAsia="Calibri"/>
                <w:sz w:val="18"/>
                <w:szCs w:val="18"/>
              </w:rPr>
              <w:br/>
              <w:t xml:space="preserve">в</w:t>
            </w:r>
            <w:r>
              <w:rPr>
                <w:rFonts w:eastAsia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Calibri"/>
                <w:sz w:val="18"/>
                <w:szCs w:val="18"/>
              </w:rPr>
              <w:t xml:space="preserve">области</w:t>
            </w:r>
            <w:r>
              <w:rPr>
                <w:rFonts w:eastAsia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Calibri"/>
                <w:spacing w:val="-1"/>
                <w:sz w:val="18"/>
                <w:szCs w:val="18"/>
              </w:rPr>
              <w:t xml:space="preserve">энергосбережени</w:t>
            </w:r>
            <w:r>
              <w:rPr>
                <w:rFonts w:eastAsia="Calibri"/>
                <w:spacing w:val="-42"/>
                <w:sz w:val="18"/>
                <w:szCs w:val="18"/>
              </w:rPr>
              <w:t xml:space="preserve"> </w:t>
            </w:r>
            <w:r>
              <w:rPr>
                <w:rFonts w:eastAsia="Calibri"/>
                <w:sz w:val="18"/>
                <w:szCs w:val="18"/>
              </w:rPr>
              <w:t xml:space="preserve">я</w:t>
            </w:r>
            <w:r>
              <w:rPr>
                <w:rFonts w:eastAsia="Calibri"/>
                <w:sz w:val="18"/>
                <w:szCs w:val="18"/>
              </w:rPr>
              <w:t xml:space="preserve"> и повышения</w:t>
            </w:r>
            <w:r>
              <w:rPr>
                <w:rFonts w:eastAsia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Calibri"/>
                <w:sz w:val="18"/>
                <w:szCs w:val="18"/>
              </w:rPr>
              <w:t xml:space="preserve">энергетической</w:t>
            </w:r>
            <w:r>
              <w:rPr>
                <w:rFonts w:eastAsia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Calibri"/>
                <w:sz w:val="18"/>
                <w:szCs w:val="18"/>
              </w:rPr>
              <w:t xml:space="preserve">эффективности</w:t>
            </w:r>
            <w:r/>
          </w:p>
          <w:p>
            <w:pPr>
              <w:pStyle w:val="464"/>
              <w:ind w:left="-57" w:right="-57"/>
              <w:jc w:val="center"/>
              <w:rPr>
                <w:rFonts w:eastAsia="Calibri"/>
                <w:sz w:val="18"/>
                <w:szCs w:val="18"/>
              </w:rPr>
            </w:pPr>
            <w:r/>
            <w:hyperlink r:id="rId12" w:tooltip="consultantplus://offline/ref%3D42284853478D02AAA189124CD4F4224ECA29ABB0A479D0D997BD59ED4E839D28A9A84F5203F8074F843306g9Q8I" w:history="1">
              <w:r>
                <w:rPr>
                  <w:rFonts w:eastAsia="Calibri"/>
                  <w:sz w:val="18"/>
                  <w:szCs w:val="18"/>
                  <w:u w:val="single"/>
                </w:rPr>
                <w:t xml:space="preserve">&lt;**&gt;</w:t>
              </w:r>
            </w:hyperlink>
            <w:r/>
            <w:r/>
          </w:p>
        </w:tc>
        <w:tc>
          <w:tcPr>
            <w:tcW w:w="332" w:type="pct"/>
            <w:vAlign w:val="center"/>
            <w:vMerge w:val="restart"/>
            <w:textDirection w:val="lrTb"/>
            <w:noWrap w:val="false"/>
          </w:tcPr>
          <w:p>
            <w:pPr>
              <w:pStyle w:val="464"/>
              <w:ind w:left="-57" w:right="-57" w:hanging="1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Динамика</w:t>
            </w:r>
            <w:r>
              <w:rPr>
                <w:rFonts w:eastAsia="Calibri"/>
                <w:spacing w:val="-42"/>
                <w:sz w:val="18"/>
                <w:szCs w:val="18"/>
              </w:rPr>
              <w:t xml:space="preserve"> </w:t>
            </w:r>
            <w:r>
              <w:rPr>
                <w:rFonts w:eastAsia="Calibri"/>
                <w:spacing w:val="-1"/>
                <w:sz w:val="18"/>
                <w:szCs w:val="18"/>
              </w:rPr>
              <w:t xml:space="preserve">изменения</w:t>
            </w:r>
            <w:r>
              <w:rPr>
                <w:rFonts w:eastAsia="Calibri"/>
                <w:spacing w:val="-42"/>
                <w:sz w:val="18"/>
                <w:szCs w:val="18"/>
              </w:rPr>
              <w:t xml:space="preserve"> </w:t>
            </w:r>
            <w:r>
              <w:rPr>
                <w:rFonts w:eastAsia="Calibri"/>
                <w:sz w:val="18"/>
                <w:szCs w:val="18"/>
              </w:rPr>
              <w:t xml:space="preserve">расходов</w:t>
            </w:r>
            <w:r>
              <w:rPr>
                <w:rFonts w:eastAsia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Calibri"/>
                <w:sz w:val="18"/>
                <w:szCs w:val="18"/>
              </w:rPr>
              <w:t xml:space="preserve">на</w:t>
            </w:r>
            <w:r>
              <w:rPr>
                <w:rFonts w:eastAsia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Calibri"/>
                <w:sz w:val="18"/>
                <w:szCs w:val="18"/>
              </w:rPr>
              <w:t xml:space="preserve">топливо</w:t>
            </w:r>
            <w:r/>
          </w:p>
          <w:p>
            <w:pPr>
              <w:pStyle w:val="464"/>
              <w:ind w:left="-57" w:right="-57"/>
              <w:jc w:val="center"/>
              <w:rPr>
                <w:rFonts w:eastAsia="Calibri"/>
                <w:sz w:val="18"/>
                <w:szCs w:val="18"/>
              </w:rPr>
            </w:pPr>
            <w:r/>
            <w:hyperlink r:id="rId13" w:tooltip="consultantplus://offline/ref%3D42284853478D02AAA189124CD4F4224ECA29ABB0A479D0D997BD59ED4E839D28A9A84F5203F8074F843306g9Q9I" w:history="1">
              <w:r>
                <w:rPr>
                  <w:rFonts w:eastAsia="Calibri"/>
                  <w:sz w:val="18"/>
                  <w:szCs w:val="18"/>
                  <w:u w:val="single"/>
                </w:rPr>
                <w:t xml:space="preserve">&lt;***&gt;</w:t>
              </w:r>
            </w:hyperlink>
            <w:r/>
            <w:r/>
          </w:p>
        </w:tc>
      </w:tr>
      <w:tr>
        <w:trPr>
          <w:trHeight w:val="2076"/>
        </w:trPr>
        <w:tc>
          <w:tcPr>
            <w:tcBorders>
              <w:top w:val="none" w:color="000000" w:sz="4" w:space="0"/>
            </w:tcBorders>
            <w:tcW w:w="143" w:type="pct"/>
            <w:vMerge w:val="continue"/>
            <w:textDirection w:val="lrTb"/>
            <w:noWrap w:val="false"/>
          </w:tcPr>
          <w:p>
            <w:pPr>
              <w:ind w:left="-57" w:right="-57"/>
              <w:widowControl w:val="off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429" w:type="pct"/>
            <w:vMerge w:val="continue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296" w:type="pct"/>
            <w:vMerge w:val="continue"/>
            <w:textDirection w:val="lrTb"/>
            <w:noWrap w:val="false"/>
          </w:tcPr>
          <w:p>
            <w:pPr>
              <w:ind w:left="-57" w:right="-57"/>
              <w:widowControl w:val="off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436" w:type="pct"/>
            <w:vMerge w:val="continue"/>
            <w:textDirection w:val="lrTb"/>
            <w:noWrap w:val="false"/>
          </w:tcPr>
          <w:p>
            <w:pPr>
              <w:ind w:left="-57" w:right="-57" w:hanging="173"/>
              <w:widowControl w:val="off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479" w:type="pct"/>
            <w:vMerge w:val="continue"/>
            <w:textDirection w:val="lrTb"/>
            <w:noWrap w:val="false"/>
          </w:tcPr>
          <w:p>
            <w:pPr>
              <w:ind w:left="-57" w:right="-57"/>
              <w:widowControl w:val="off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412" w:type="pct"/>
            <w:vMerge w:val="continue"/>
            <w:textDirection w:val="lrTb"/>
            <w:noWrap w:val="false"/>
          </w:tcPr>
          <w:p>
            <w:pPr>
              <w:ind w:left="-57" w:right="-57"/>
              <w:widowControl w:val="off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/>
          </w:p>
        </w:tc>
        <w:tc>
          <w:tcPr>
            <w:tcW w:w="394" w:type="pct"/>
            <w:vAlign w:val="center"/>
            <w:textDirection w:val="lrTb"/>
            <w:noWrap w:val="false"/>
          </w:tcPr>
          <w:p>
            <w:pPr>
              <w:pStyle w:val="464"/>
              <w:ind w:left="-36" w:right="-57" w:hanging="2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количество</w:t>
            </w:r>
            <w:r>
              <w:rPr>
                <w:rFonts w:eastAsia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Calibri"/>
                <w:sz w:val="18"/>
                <w:szCs w:val="18"/>
              </w:rPr>
              <w:t xml:space="preserve">прекращени</w:t>
            </w:r>
            <w:r>
              <w:rPr>
                <w:rFonts w:eastAsia="Calibri"/>
                <w:spacing w:val="-42"/>
                <w:sz w:val="18"/>
                <w:szCs w:val="18"/>
              </w:rPr>
              <w:t xml:space="preserve"> </w:t>
            </w:r>
            <w:r>
              <w:rPr>
                <w:rFonts w:eastAsia="Calibri"/>
                <w:sz w:val="18"/>
                <w:szCs w:val="18"/>
              </w:rPr>
              <w:t xml:space="preserve">й</w:t>
            </w:r>
            <w:r>
              <w:rPr>
                <w:rFonts w:eastAsia="Calibri"/>
                <w:sz w:val="18"/>
                <w:szCs w:val="18"/>
              </w:rPr>
              <w:t xml:space="preserve"> подачи</w:t>
            </w:r>
            <w:r>
              <w:rPr>
                <w:rFonts w:eastAsia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Calibri"/>
                <w:sz w:val="18"/>
                <w:szCs w:val="18"/>
              </w:rPr>
              <w:t xml:space="preserve">тепловой</w:t>
            </w:r>
            <w:r>
              <w:rPr>
                <w:rFonts w:eastAsia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Calibri"/>
                <w:sz w:val="18"/>
                <w:szCs w:val="18"/>
              </w:rPr>
              <w:t xml:space="preserve">энергии на</w:t>
            </w:r>
            <w:r>
              <w:rPr>
                <w:rFonts w:eastAsia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Calibri"/>
                <w:sz w:val="18"/>
                <w:szCs w:val="18"/>
              </w:rPr>
              <w:t xml:space="preserve">тепловых</w:t>
            </w:r>
            <w:r>
              <w:rPr>
                <w:rFonts w:eastAsia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Calibri"/>
                <w:spacing w:val="1"/>
                <w:sz w:val="18"/>
                <w:szCs w:val="18"/>
              </w:rPr>
              <w:br/>
            </w:r>
            <w:r>
              <w:rPr>
                <w:rFonts w:eastAsia="Calibri"/>
                <w:spacing w:val="-1"/>
                <w:sz w:val="18"/>
                <w:szCs w:val="18"/>
              </w:rPr>
              <w:t xml:space="preserve">сетях,</w:t>
            </w:r>
            <w:r>
              <w:rPr>
                <w:rFonts w:eastAsia="Calibri"/>
                <w:spacing w:val="-11"/>
                <w:sz w:val="18"/>
                <w:szCs w:val="18"/>
              </w:rPr>
              <w:t xml:space="preserve"> </w:t>
            </w:r>
            <w:r>
              <w:rPr>
                <w:rFonts w:eastAsia="Calibri"/>
                <w:sz w:val="18"/>
                <w:szCs w:val="18"/>
              </w:rPr>
              <w:t xml:space="preserve">ед./км</w:t>
            </w:r>
            <w:r/>
          </w:p>
        </w:tc>
        <w:tc>
          <w:tcPr>
            <w:tcW w:w="434" w:type="pct"/>
            <w:vAlign w:val="center"/>
            <w:textDirection w:val="lrTb"/>
            <w:noWrap w:val="false"/>
          </w:tcPr>
          <w:p>
            <w:pPr>
              <w:pStyle w:val="464"/>
              <w:ind w:left="-57" w:right="-57" w:hanging="3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количество</w:t>
            </w:r>
            <w:r>
              <w:rPr>
                <w:rFonts w:eastAsia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Calibri"/>
                <w:spacing w:val="-1"/>
                <w:sz w:val="18"/>
                <w:szCs w:val="18"/>
              </w:rPr>
              <w:t xml:space="preserve">прекращений</w:t>
            </w:r>
            <w:r>
              <w:rPr>
                <w:rFonts w:eastAsia="Calibri"/>
                <w:spacing w:val="-42"/>
                <w:sz w:val="18"/>
                <w:szCs w:val="18"/>
              </w:rPr>
              <w:t xml:space="preserve">   </w:t>
            </w:r>
            <w:r>
              <w:rPr>
                <w:rFonts w:eastAsia="Calibri"/>
                <w:sz w:val="18"/>
                <w:szCs w:val="18"/>
              </w:rPr>
              <w:t xml:space="preserve">подачи</w:t>
            </w:r>
            <w:r>
              <w:rPr>
                <w:rFonts w:eastAsia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Calibri"/>
                <w:sz w:val="18"/>
                <w:szCs w:val="18"/>
              </w:rPr>
              <w:t xml:space="preserve">тепловой</w:t>
            </w:r>
            <w:r>
              <w:rPr>
                <w:rFonts w:eastAsia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Calibri"/>
                <w:sz w:val="18"/>
                <w:szCs w:val="18"/>
              </w:rPr>
              <w:t xml:space="preserve">энергии на</w:t>
            </w:r>
            <w:r>
              <w:rPr>
                <w:rFonts w:eastAsia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Calibri"/>
                <w:sz w:val="18"/>
                <w:szCs w:val="18"/>
              </w:rPr>
              <w:t xml:space="preserve">источниках</w:t>
            </w:r>
            <w:r>
              <w:rPr>
                <w:rFonts w:eastAsia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Calibri"/>
                <w:sz w:val="18"/>
                <w:szCs w:val="18"/>
              </w:rPr>
              <w:t xml:space="preserve">тепловой</w:t>
            </w:r>
            <w:r>
              <w:rPr>
                <w:rFonts w:eastAsia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Calibri"/>
                <w:sz w:val="18"/>
                <w:szCs w:val="18"/>
              </w:rPr>
              <w:t xml:space="preserve">энергии,</w:t>
            </w:r>
            <w:r>
              <w:rPr>
                <w:rFonts w:eastAsia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Calibri"/>
                <w:sz w:val="18"/>
                <w:szCs w:val="18"/>
              </w:rPr>
              <w:t xml:space="preserve">ед./Гкал/час</w:t>
            </w:r>
            <w:r/>
          </w:p>
        </w:tc>
        <w:tc>
          <w:tcPr>
            <w:tcW w:w="329" w:type="pct"/>
            <w:vAlign w:val="center"/>
            <w:textDirection w:val="lrTb"/>
            <w:noWrap w:val="false"/>
          </w:tcPr>
          <w:p>
            <w:pPr>
              <w:pStyle w:val="464"/>
              <w:ind w:left="-57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pacing w:val="-1"/>
                <w:sz w:val="18"/>
                <w:szCs w:val="18"/>
              </w:rPr>
              <w:t xml:space="preserve">удельный</w:t>
            </w:r>
            <w:r>
              <w:rPr>
                <w:rFonts w:eastAsia="Calibri"/>
                <w:spacing w:val="-42"/>
                <w:sz w:val="18"/>
                <w:szCs w:val="18"/>
              </w:rPr>
              <w:t xml:space="preserve"> </w:t>
            </w:r>
            <w:r>
              <w:rPr>
                <w:rFonts w:eastAsia="Calibri"/>
                <w:sz w:val="18"/>
                <w:szCs w:val="18"/>
              </w:rPr>
              <w:t xml:space="preserve">расход</w:t>
            </w:r>
            <w:r>
              <w:rPr>
                <w:rFonts w:eastAsia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Calibri"/>
                <w:sz w:val="18"/>
                <w:szCs w:val="18"/>
              </w:rPr>
              <w:t xml:space="preserve">топлива,</w:t>
            </w:r>
            <w:r>
              <w:rPr>
                <w:rFonts w:eastAsia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Calibri"/>
                <w:sz w:val="18"/>
                <w:szCs w:val="18"/>
              </w:rPr>
              <w:t xml:space="preserve">кг</w:t>
            </w:r>
            <w:r>
              <w:rPr>
                <w:rFonts w:eastAsia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Calibri"/>
                <w:sz w:val="18"/>
                <w:szCs w:val="18"/>
              </w:rPr>
              <w:t xml:space="preserve">у.т</w:t>
            </w:r>
            <w:r>
              <w:rPr>
                <w:rFonts w:eastAsia="Calibri"/>
                <w:sz w:val="18"/>
                <w:szCs w:val="18"/>
              </w:rPr>
              <w:t xml:space="preserve">./Гкал</w:t>
            </w:r>
            <w:r/>
          </w:p>
        </w:tc>
        <w:tc>
          <w:tcPr>
            <w:tcW w:w="500" w:type="pct"/>
            <w:vAlign w:val="center"/>
            <w:textDirection w:val="lrTb"/>
            <w:noWrap w:val="false"/>
          </w:tcPr>
          <w:p>
            <w:pPr>
              <w:pStyle w:val="464"/>
              <w:ind w:hanging="5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величина</w:t>
            </w:r>
            <w:r>
              <w:rPr>
                <w:rFonts w:eastAsia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Calibri"/>
                <w:sz w:val="18"/>
                <w:szCs w:val="18"/>
              </w:rPr>
              <w:t xml:space="preserve">потерь </w:t>
            </w:r>
            <w:r>
              <w:rPr>
                <w:rFonts w:eastAsia="Calibri"/>
                <w:sz w:val="18"/>
                <w:szCs w:val="18"/>
              </w:rPr>
              <w:br/>
              <w:t xml:space="preserve">к</w:t>
            </w:r>
            <w:r>
              <w:rPr>
                <w:rFonts w:eastAsia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Calibri"/>
                <w:sz w:val="18"/>
                <w:szCs w:val="18"/>
              </w:rPr>
              <w:t xml:space="preserve">материальной</w:t>
            </w:r>
            <w:r>
              <w:rPr>
                <w:rFonts w:eastAsia="Calibri"/>
                <w:spacing w:val="-42"/>
                <w:sz w:val="18"/>
                <w:szCs w:val="18"/>
              </w:rPr>
              <w:t xml:space="preserve"> </w:t>
            </w:r>
            <w:r>
              <w:rPr>
                <w:rFonts w:eastAsia="Calibri"/>
                <w:spacing w:val="-1"/>
                <w:sz w:val="18"/>
                <w:szCs w:val="18"/>
              </w:rPr>
              <w:t xml:space="preserve">характеристик</w:t>
            </w:r>
            <w:r>
              <w:rPr>
                <w:rFonts w:eastAsia="Calibri"/>
                <w:spacing w:val="-42"/>
                <w:sz w:val="18"/>
                <w:szCs w:val="18"/>
              </w:rPr>
              <w:t xml:space="preserve"> </w:t>
            </w:r>
            <w:r>
              <w:rPr>
                <w:rFonts w:eastAsia="Calibri"/>
                <w:sz w:val="18"/>
                <w:szCs w:val="18"/>
              </w:rPr>
              <w:t xml:space="preserve">е тепловой</w:t>
            </w:r>
            <w:r>
              <w:rPr>
                <w:rFonts w:eastAsia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Calibri"/>
                <w:sz w:val="18"/>
                <w:szCs w:val="18"/>
              </w:rPr>
              <w:t xml:space="preserve">сети,</w:t>
            </w:r>
            <w:r>
              <w:rPr>
                <w:rFonts w:eastAsia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eastAsia="Calibri"/>
                <w:sz w:val="18"/>
                <w:szCs w:val="18"/>
              </w:rPr>
              <w:t xml:space="preserve">Гкал/м</w:t>
            </w:r>
            <w:r>
              <w:rPr>
                <w:rFonts w:eastAsia="Calibri"/>
                <w:sz w:val="18"/>
                <w:szCs w:val="18"/>
                <w:vertAlign w:val="superscript"/>
              </w:rPr>
              <w:t xml:space="preserve">2</w:t>
            </w:r>
            <w:r/>
          </w:p>
        </w:tc>
        <w:tc>
          <w:tcPr>
            <w:tcW w:w="297" w:type="pct"/>
            <w:vAlign w:val="center"/>
            <w:textDirection w:val="lrTb"/>
            <w:noWrap w:val="false"/>
          </w:tcPr>
          <w:p>
            <w:pPr>
              <w:pStyle w:val="464"/>
              <w:ind w:right="-57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pacing w:val="-1"/>
                <w:sz w:val="18"/>
                <w:szCs w:val="18"/>
              </w:rPr>
              <w:t xml:space="preserve">техноло-гически</w:t>
            </w:r>
            <w:r>
              <w:rPr>
                <w:rFonts w:eastAsia="Calibri"/>
                <w:spacing w:val="-42"/>
                <w:sz w:val="18"/>
                <w:szCs w:val="18"/>
              </w:rPr>
              <w:t xml:space="preserve"> </w:t>
            </w:r>
            <w:r>
              <w:rPr>
                <w:rFonts w:eastAsia="Calibri"/>
                <w:sz w:val="18"/>
                <w:szCs w:val="18"/>
              </w:rPr>
              <w:t xml:space="preserve">е</w:t>
            </w:r>
            <w:r>
              <w:rPr>
                <w:rFonts w:eastAsia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eastAsia="Calibri"/>
                <w:sz w:val="18"/>
                <w:szCs w:val="18"/>
              </w:rPr>
              <w:t xml:space="preserve">потери,</w:t>
            </w:r>
            <w:r>
              <w:rPr>
                <w:rFonts w:eastAsia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eastAsia="Calibri"/>
                <w:spacing w:val="-3"/>
                <w:sz w:val="18"/>
                <w:szCs w:val="18"/>
              </w:rPr>
              <w:br/>
            </w:r>
            <w:r>
              <w:rPr>
                <w:rFonts w:eastAsia="Calibri"/>
                <w:sz w:val="18"/>
                <w:szCs w:val="18"/>
              </w:rPr>
              <w:t xml:space="preserve">Гкал</w:t>
            </w:r>
            <w:r/>
          </w:p>
        </w:tc>
        <w:tc>
          <w:tcPr>
            <w:tcBorders>
              <w:top w:val="none" w:color="000000" w:sz="4" w:space="0"/>
            </w:tcBorders>
            <w:tcW w:w="519" w:type="pct"/>
            <w:vMerge w:val="continue"/>
            <w:textDirection w:val="lrTb"/>
            <w:noWrap w:val="false"/>
          </w:tcPr>
          <w:p>
            <w:pPr>
              <w:ind w:left="-57" w:right="-57"/>
              <w:widowControl w:val="off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332" w:type="pct"/>
            <w:vMerge w:val="continue"/>
            <w:textDirection w:val="lrTb"/>
            <w:noWrap w:val="false"/>
          </w:tcPr>
          <w:p>
            <w:pPr>
              <w:ind w:left="-57" w:right="-57"/>
              <w:widowControl w:val="off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/>
          </w:p>
        </w:tc>
      </w:tr>
      <w:tr>
        <w:trPr>
          <w:trHeight w:val="547"/>
        </w:trPr>
        <w:tc>
          <w:tcPr>
            <w:tcW w:w="143" w:type="pct"/>
            <w:vAlign w:val="center"/>
            <w:vMerge w:val="restart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1</w:t>
            </w:r>
            <w:r/>
          </w:p>
        </w:tc>
        <w:tc>
          <w:tcPr>
            <w:tcW w:w="429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ООО </w:t>
            </w:r>
            <w:r/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«Союз»</w:t>
            </w:r>
            <w:r/>
          </w:p>
        </w:tc>
        <w:tc>
          <w:tcPr>
            <w:tcW w:w="296" w:type="pct"/>
            <w:vAlign w:val="center"/>
            <w:textDirection w:val="lrTb"/>
            <w:noWrap w:val="false"/>
          </w:tcPr>
          <w:p>
            <w:pPr>
              <w:pStyle w:val="464"/>
              <w:ind w:left="-57" w:right="-57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2026</w:t>
            </w:r>
            <w:r/>
          </w:p>
        </w:tc>
        <w:tc>
          <w:tcPr>
            <w:tcW w:w="436" w:type="pct"/>
            <w:vAlign w:val="center"/>
            <w:textDirection w:val="lrTb"/>
            <w:noWrap w:val="false"/>
          </w:tcPr>
          <w:p>
            <w:pPr>
              <w:pStyle w:val="464"/>
              <w:ind w:left="-57" w:right="-57" w:hanging="173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1 639,10</w:t>
            </w:r>
            <w:r/>
          </w:p>
        </w:tc>
        <w:tc>
          <w:tcPr>
            <w:tcW w:w="479" w:type="pct"/>
            <w:vAlign w:val="center"/>
            <w:textDirection w:val="lrTb"/>
            <w:noWrap w:val="false"/>
          </w:tcPr>
          <w:p>
            <w:pPr>
              <w:pStyle w:val="464"/>
              <w:ind w:left="-57" w:right="-57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1,0</w:t>
            </w:r>
            <w:r/>
          </w:p>
        </w:tc>
        <w:tc>
          <w:tcPr>
            <w:tcW w:w="412" w:type="pct"/>
            <w:vAlign w:val="center"/>
            <w:textDirection w:val="lrTb"/>
            <w:noWrap w:val="false"/>
          </w:tcPr>
          <w:p>
            <w:pPr>
              <w:pStyle w:val="464"/>
              <w:ind w:left="-57" w:right="-57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/>
          </w:p>
        </w:tc>
        <w:tc>
          <w:tcPr>
            <w:tcW w:w="394" w:type="pct"/>
            <w:vAlign w:val="center"/>
            <w:textDirection w:val="lrTb"/>
            <w:noWrap w:val="false"/>
          </w:tcPr>
          <w:p>
            <w:pPr>
              <w:pStyle w:val="464"/>
              <w:ind w:left="-57" w:right="-57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0</w:t>
            </w:r>
            <w:r/>
          </w:p>
        </w:tc>
        <w:tc>
          <w:tcPr>
            <w:tcW w:w="434" w:type="pct"/>
            <w:vAlign w:val="center"/>
            <w:textDirection w:val="lrTb"/>
            <w:noWrap w:val="false"/>
          </w:tcPr>
          <w:p>
            <w:pPr>
              <w:pStyle w:val="464"/>
              <w:ind w:left="-57" w:right="-57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/>
          </w:p>
        </w:tc>
        <w:tc>
          <w:tcPr>
            <w:tcW w:w="329" w:type="pct"/>
            <w:vAlign w:val="center"/>
            <w:textDirection w:val="lrTb"/>
            <w:noWrap w:val="false"/>
          </w:tcPr>
          <w:p>
            <w:pPr>
              <w:pStyle w:val="464"/>
              <w:ind w:left="-57" w:right="-57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158,49</w:t>
            </w:r>
            <w:r/>
          </w:p>
        </w:tc>
        <w:tc>
          <w:tcPr>
            <w:tcW w:w="500" w:type="pct"/>
            <w:vAlign w:val="center"/>
            <w:textDirection w:val="lrTb"/>
            <w:noWrap w:val="false"/>
          </w:tcPr>
          <w:p>
            <w:pPr>
              <w:pStyle w:val="464"/>
              <w:ind w:left="-57" w:right="-57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1,87</w:t>
            </w:r>
            <w:r/>
          </w:p>
        </w:tc>
        <w:tc>
          <w:tcPr>
            <w:tcW w:w="297" w:type="pct"/>
            <w:vAlign w:val="center"/>
            <w:textDirection w:val="lrTb"/>
            <w:noWrap w:val="false"/>
          </w:tcPr>
          <w:p>
            <w:pPr>
              <w:pStyle w:val="464"/>
              <w:ind w:left="-57" w:right="-57"/>
              <w:jc w:val="center"/>
              <w:tabs>
                <w:tab w:val="left" w:pos="710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495,04</w:t>
            </w:r>
            <w:r/>
          </w:p>
        </w:tc>
        <w:tc>
          <w:tcPr>
            <w:tcW w:w="519" w:type="pct"/>
            <w:vAlign w:val="center"/>
            <w:textDirection w:val="lrTb"/>
            <w:noWrap w:val="false"/>
          </w:tcPr>
          <w:p>
            <w:pPr>
              <w:pStyle w:val="464"/>
              <w:ind w:left="-57" w:right="-57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tcW w:w="332" w:type="pct"/>
            <w:vAlign w:val="center"/>
            <w:textDirection w:val="lrTb"/>
            <w:noWrap w:val="false"/>
          </w:tcPr>
          <w:p>
            <w:pPr>
              <w:pStyle w:val="464"/>
              <w:ind w:left="-57" w:right="-57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418"/>
        </w:trPr>
        <w:tc>
          <w:tcPr>
            <w:tcW w:w="143" w:type="pct"/>
            <w:vAlign w:val="center"/>
            <w:vMerge w:val="continue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/>
          </w:p>
        </w:tc>
        <w:tc>
          <w:tcPr>
            <w:tcW w:w="429" w:type="pct"/>
            <w:vAlign w:val="center"/>
            <w:vMerge w:val="continue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/>
          </w:p>
        </w:tc>
        <w:tc>
          <w:tcPr>
            <w:tcW w:w="296" w:type="pct"/>
            <w:vAlign w:val="center"/>
            <w:textDirection w:val="lrTb"/>
            <w:noWrap w:val="false"/>
          </w:tcPr>
          <w:p>
            <w:pPr>
              <w:pStyle w:val="464"/>
              <w:ind w:left="-57" w:right="-57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2027</w:t>
            </w:r>
            <w:r/>
          </w:p>
        </w:tc>
        <w:tc>
          <w:tcPr>
            <w:tcW w:w="436" w:type="pct"/>
            <w:vAlign w:val="center"/>
            <w:textDirection w:val="lrTb"/>
            <w:noWrap w:val="false"/>
          </w:tcPr>
          <w:p>
            <w:pPr>
              <w:pStyle w:val="464"/>
              <w:ind w:left="-57" w:right="-57" w:hanging="173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</w:t>
            </w:r>
            <w:r/>
          </w:p>
        </w:tc>
        <w:tc>
          <w:tcPr>
            <w:tcW w:w="479" w:type="pct"/>
            <w:vAlign w:val="center"/>
            <w:textDirection w:val="lrTb"/>
            <w:noWrap w:val="false"/>
          </w:tcPr>
          <w:p>
            <w:pPr>
              <w:pStyle w:val="464"/>
              <w:ind w:left="-57" w:right="-57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1,0</w:t>
            </w:r>
            <w:r/>
          </w:p>
        </w:tc>
        <w:tc>
          <w:tcPr>
            <w:tcW w:w="412" w:type="pct"/>
            <w:vAlign w:val="center"/>
            <w:textDirection w:val="lrTb"/>
            <w:noWrap w:val="false"/>
          </w:tcPr>
          <w:p>
            <w:pPr>
              <w:pStyle w:val="464"/>
              <w:ind w:left="-57" w:right="-57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/>
          </w:p>
        </w:tc>
        <w:tc>
          <w:tcPr>
            <w:tcW w:w="394" w:type="pct"/>
            <w:vAlign w:val="center"/>
            <w:textDirection w:val="lrTb"/>
            <w:noWrap w:val="false"/>
          </w:tcPr>
          <w:p>
            <w:pPr>
              <w:pStyle w:val="464"/>
              <w:ind w:left="-57" w:right="-57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0</w:t>
            </w:r>
            <w:r/>
          </w:p>
        </w:tc>
        <w:tc>
          <w:tcPr>
            <w:tcW w:w="434" w:type="pct"/>
            <w:vAlign w:val="center"/>
            <w:textDirection w:val="lrTb"/>
            <w:noWrap w:val="false"/>
          </w:tcPr>
          <w:p>
            <w:pPr>
              <w:pStyle w:val="464"/>
              <w:ind w:left="-57" w:right="-57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/>
          </w:p>
        </w:tc>
        <w:tc>
          <w:tcPr>
            <w:tcW w:w="329" w:type="pct"/>
            <w:vAlign w:val="center"/>
            <w:textDirection w:val="lrTb"/>
            <w:noWrap w:val="false"/>
          </w:tcPr>
          <w:p>
            <w:pPr>
              <w:pStyle w:val="464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158,49</w:t>
            </w:r>
            <w:r/>
          </w:p>
        </w:tc>
        <w:tc>
          <w:tcPr>
            <w:tcW w:w="500" w:type="pct"/>
            <w:vAlign w:val="center"/>
            <w:textDirection w:val="lrTb"/>
            <w:noWrap w:val="false"/>
          </w:tcPr>
          <w:p>
            <w:pPr>
              <w:pStyle w:val="464"/>
              <w:ind w:left="-57" w:right="-57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1,87</w:t>
            </w:r>
            <w:r/>
          </w:p>
        </w:tc>
        <w:tc>
          <w:tcPr>
            <w:tcW w:w="297" w:type="pct"/>
            <w:vAlign w:val="center"/>
            <w:textDirection w:val="lrTb"/>
            <w:noWrap w:val="false"/>
          </w:tcPr>
          <w:p>
            <w:pPr>
              <w:pStyle w:val="464"/>
              <w:ind w:left="-57" w:right="-57"/>
              <w:jc w:val="center"/>
              <w:tabs>
                <w:tab w:val="left" w:pos="710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495,04</w:t>
            </w:r>
            <w:r/>
          </w:p>
        </w:tc>
        <w:tc>
          <w:tcPr>
            <w:tcW w:w="519" w:type="pct"/>
            <w:vAlign w:val="center"/>
            <w:textDirection w:val="lrTb"/>
            <w:noWrap w:val="false"/>
          </w:tcPr>
          <w:p>
            <w:pPr>
              <w:pStyle w:val="464"/>
              <w:ind w:left="-57" w:right="-57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tcW w:w="332" w:type="pct"/>
            <w:vAlign w:val="center"/>
            <w:textDirection w:val="lrTb"/>
            <w:noWrap w:val="false"/>
          </w:tcPr>
          <w:p>
            <w:pPr>
              <w:pStyle w:val="464"/>
              <w:ind w:left="-57" w:right="-57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410"/>
        </w:trPr>
        <w:tc>
          <w:tcPr>
            <w:tcW w:w="143" w:type="pct"/>
            <w:vAlign w:val="center"/>
            <w:vMerge w:val="continue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/>
          </w:p>
        </w:tc>
        <w:tc>
          <w:tcPr>
            <w:tcW w:w="429" w:type="pct"/>
            <w:vAlign w:val="center"/>
            <w:vMerge w:val="continue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/>
          </w:p>
        </w:tc>
        <w:tc>
          <w:tcPr>
            <w:tcW w:w="296" w:type="pct"/>
            <w:vAlign w:val="center"/>
            <w:textDirection w:val="lrTb"/>
            <w:noWrap w:val="false"/>
          </w:tcPr>
          <w:p>
            <w:pPr>
              <w:pStyle w:val="464"/>
              <w:ind w:left="-57" w:right="-57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2028</w:t>
            </w:r>
            <w:r/>
          </w:p>
        </w:tc>
        <w:tc>
          <w:tcPr>
            <w:tcW w:w="436" w:type="pct"/>
            <w:vAlign w:val="center"/>
            <w:textDirection w:val="lrTb"/>
            <w:noWrap w:val="false"/>
          </w:tcPr>
          <w:p>
            <w:pPr>
              <w:pStyle w:val="464"/>
              <w:ind w:left="-57" w:right="-57" w:hanging="173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х</w:t>
            </w:r>
            <w:r/>
          </w:p>
        </w:tc>
        <w:tc>
          <w:tcPr>
            <w:tcW w:w="479" w:type="pct"/>
            <w:vAlign w:val="center"/>
            <w:textDirection w:val="lrTb"/>
            <w:noWrap w:val="false"/>
          </w:tcPr>
          <w:p>
            <w:pPr>
              <w:pStyle w:val="464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1,0</w:t>
            </w:r>
            <w:r/>
          </w:p>
        </w:tc>
        <w:tc>
          <w:tcPr>
            <w:tcW w:w="412" w:type="pct"/>
            <w:vAlign w:val="center"/>
            <w:textDirection w:val="lrTb"/>
            <w:noWrap w:val="false"/>
          </w:tcPr>
          <w:p>
            <w:pPr>
              <w:pStyle w:val="464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/>
          </w:p>
        </w:tc>
        <w:tc>
          <w:tcPr>
            <w:tcW w:w="394" w:type="pct"/>
            <w:vAlign w:val="center"/>
            <w:textDirection w:val="lrTb"/>
            <w:noWrap w:val="false"/>
          </w:tcPr>
          <w:p>
            <w:pPr>
              <w:pStyle w:val="464"/>
              <w:ind w:left="-57" w:right="-57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0</w:t>
            </w:r>
            <w:r/>
          </w:p>
        </w:tc>
        <w:tc>
          <w:tcPr>
            <w:tcW w:w="434" w:type="pct"/>
            <w:vAlign w:val="center"/>
            <w:textDirection w:val="lrTb"/>
            <w:noWrap w:val="false"/>
          </w:tcPr>
          <w:p>
            <w:pPr>
              <w:pStyle w:val="464"/>
              <w:ind w:left="-57" w:right="-57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/>
          </w:p>
        </w:tc>
        <w:tc>
          <w:tcPr>
            <w:tcW w:w="329" w:type="pct"/>
            <w:vAlign w:val="center"/>
            <w:textDirection w:val="lrTb"/>
            <w:noWrap w:val="false"/>
          </w:tcPr>
          <w:p>
            <w:pPr>
              <w:pStyle w:val="464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158,49</w:t>
            </w:r>
            <w:r/>
          </w:p>
        </w:tc>
        <w:tc>
          <w:tcPr>
            <w:tcW w:w="500" w:type="pct"/>
            <w:vAlign w:val="center"/>
            <w:textDirection w:val="lrTb"/>
            <w:noWrap w:val="false"/>
          </w:tcPr>
          <w:p>
            <w:pPr>
              <w:pStyle w:val="464"/>
              <w:ind w:left="-57" w:right="-57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1,87</w:t>
            </w:r>
            <w:r/>
          </w:p>
        </w:tc>
        <w:tc>
          <w:tcPr>
            <w:tcW w:w="297" w:type="pct"/>
            <w:vAlign w:val="center"/>
            <w:textDirection w:val="lrTb"/>
            <w:noWrap w:val="false"/>
          </w:tcPr>
          <w:p>
            <w:pPr>
              <w:pStyle w:val="464"/>
              <w:ind w:left="-57" w:right="-57"/>
              <w:jc w:val="center"/>
              <w:tabs>
                <w:tab w:val="left" w:pos="710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495,04</w:t>
            </w:r>
            <w:r/>
          </w:p>
        </w:tc>
        <w:tc>
          <w:tcPr>
            <w:tcW w:w="519" w:type="pct"/>
            <w:vAlign w:val="center"/>
            <w:textDirection w:val="lrTb"/>
            <w:noWrap w:val="false"/>
          </w:tcPr>
          <w:p>
            <w:pPr>
              <w:pStyle w:val="464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tcW w:w="332" w:type="pct"/>
            <w:vAlign w:val="center"/>
            <w:textDirection w:val="lrTb"/>
            <w:noWrap w:val="false"/>
          </w:tcPr>
          <w:p>
            <w:pPr>
              <w:pStyle w:val="464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410"/>
        </w:trPr>
        <w:tc>
          <w:tcPr>
            <w:tcW w:w="143" w:type="pct"/>
            <w:vAlign w:val="center"/>
            <w:vMerge w:val="continue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/>
          </w:p>
        </w:tc>
        <w:tc>
          <w:tcPr>
            <w:tcW w:w="429" w:type="pct"/>
            <w:vAlign w:val="center"/>
            <w:vMerge w:val="continue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/>
          </w:p>
        </w:tc>
        <w:tc>
          <w:tcPr>
            <w:tcW w:w="296" w:type="pct"/>
            <w:vAlign w:val="center"/>
            <w:textDirection w:val="lrTb"/>
            <w:noWrap w:val="false"/>
          </w:tcPr>
          <w:p>
            <w:pPr>
              <w:pStyle w:val="464"/>
              <w:ind w:left="-57" w:right="-57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2029</w:t>
            </w:r>
            <w:r/>
          </w:p>
        </w:tc>
        <w:tc>
          <w:tcPr>
            <w:tcW w:w="436" w:type="pct"/>
            <w:vAlign w:val="center"/>
            <w:textDirection w:val="lrTb"/>
            <w:noWrap w:val="false"/>
          </w:tcPr>
          <w:p>
            <w:pPr>
              <w:pStyle w:val="464"/>
              <w:ind w:left="-57" w:right="-57" w:hanging="173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х</w:t>
            </w:r>
            <w:r/>
          </w:p>
        </w:tc>
        <w:tc>
          <w:tcPr>
            <w:tcW w:w="479" w:type="pct"/>
            <w:vAlign w:val="center"/>
            <w:textDirection w:val="lrTb"/>
            <w:noWrap w:val="false"/>
          </w:tcPr>
          <w:p>
            <w:pPr>
              <w:pStyle w:val="464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1,0</w:t>
            </w:r>
            <w:r/>
          </w:p>
        </w:tc>
        <w:tc>
          <w:tcPr>
            <w:tcW w:w="412" w:type="pct"/>
            <w:vAlign w:val="center"/>
            <w:textDirection w:val="lrTb"/>
            <w:noWrap w:val="false"/>
          </w:tcPr>
          <w:p>
            <w:pPr>
              <w:pStyle w:val="464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/>
          </w:p>
        </w:tc>
        <w:tc>
          <w:tcPr>
            <w:tcW w:w="394" w:type="pct"/>
            <w:vAlign w:val="center"/>
            <w:textDirection w:val="lrTb"/>
            <w:noWrap w:val="false"/>
          </w:tcPr>
          <w:p>
            <w:pPr>
              <w:pStyle w:val="464"/>
              <w:ind w:left="-57" w:right="-57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0</w:t>
            </w:r>
            <w:r/>
          </w:p>
        </w:tc>
        <w:tc>
          <w:tcPr>
            <w:tcW w:w="434" w:type="pct"/>
            <w:vAlign w:val="center"/>
            <w:textDirection w:val="lrTb"/>
            <w:noWrap w:val="false"/>
          </w:tcPr>
          <w:p>
            <w:pPr>
              <w:pStyle w:val="464"/>
              <w:ind w:left="-57" w:right="-57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/>
          </w:p>
        </w:tc>
        <w:tc>
          <w:tcPr>
            <w:tcW w:w="329" w:type="pct"/>
            <w:vAlign w:val="center"/>
            <w:textDirection w:val="lrTb"/>
            <w:noWrap w:val="false"/>
          </w:tcPr>
          <w:p>
            <w:pPr>
              <w:pStyle w:val="464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158,49</w:t>
            </w:r>
            <w:r/>
          </w:p>
        </w:tc>
        <w:tc>
          <w:tcPr>
            <w:tcW w:w="500" w:type="pct"/>
            <w:vAlign w:val="center"/>
            <w:textDirection w:val="lrTb"/>
            <w:noWrap w:val="false"/>
          </w:tcPr>
          <w:p>
            <w:pPr>
              <w:pStyle w:val="464"/>
              <w:ind w:left="-57" w:right="-57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1,87</w:t>
            </w:r>
            <w:r/>
          </w:p>
        </w:tc>
        <w:tc>
          <w:tcPr>
            <w:tcW w:w="297" w:type="pct"/>
            <w:vAlign w:val="center"/>
            <w:textDirection w:val="lrTb"/>
            <w:noWrap w:val="false"/>
          </w:tcPr>
          <w:p>
            <w:pPr>
              <w:pStyle w:val="464"/>
              <w:ind w:left="-57" w:right="-57"/>
              <w:jc w:val="center"/>
              <w:tabs>
                <w:tab w:val="left" w:pos="710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495,04</w:t>
            </w:r>
            <w:r/>
          </w:p>
        </w:tc>
        <w:tc>
          <w:tcPr>
            <w:tcW w:w="519" w:type="pct"/>
            <w:vAlign w:val="center"/>
            <w:textDirection w:val="lrTb"/>
            <w:noWrap w:val="false"/>
          </w:tcPr>
          <w:p>
            <w:pPr>
              <w:pStyle w:val="464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tcW w:w="332" w:type="pct"/>
            <w:vAlign w:val="center"/>
            <w:textDirection w:val="lrTb"/>
            <w:noWrap w:val="false"/>
          </w:tcPr>
          <w:p>
            <w:pPr>
              <w:pStyle w:val="464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410"/>
        </w:trPr>
        <w:tc>
          <w:tcPr>
            <w:tcW w:w="143" w:type="pct"/>
            <w:vAlign w:val="center"/>
            <w:vMerge w:val="continue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/>
          </w:p>
        </w:tc>
        <w:tc>
          <w:tcPr>
            <w:tcW w:w="429" w:type="pct"/>
            <w:vAlign w:val="center"/>
            <w:vMerge w:val="continue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/>
          </w:p>
        </w:tc>
        <w:tc>
          <w:tcPr>
            <w:tcW w:w="296" w:type="pct"/>
            <w:vAlign w:val="center"/>
            <w:textDirection w:val="lrTb"/>
            <w:noWrap w:val="false"/>
          </w:tcPr>
          <w:p>
            <w:pPr>
              <w:pStyle w:val="464"/>
              <w:ind w:left="-57" w:right="-57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2030</w:t>
            </w:r>
            <w:r/>
          </w:p>
        </w:tc>
        <w:tc>
          <w:tcPr>
            <w:tcW w:w="436" w:type="pct"/>
            <w:vAlign w:val="center"/>
            <w:textDirection w:val="lrTb"/>
            <w:noWrap w:val="false"/>
          </w:tcPr>
          <w:p>
            <w:pPr>
              <w:pStyle w:val="464"/>
              <w:ind w:left="-57" w:right="-57" w:hanging="173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x</w:t>
            </w:r>
            <w:r/>
          </w:p>
        </w:tc>
        <w:tc>
          <w:tcPr>
            <w:tcW w:w="479" w:type="pct"/>
            <w:vAlign w:val="center"/>
            <w:textDirection w:val="lrTb"/>
            <w:noWrap w:val="false"/>
          </w:tcPr>
          <w:p>
            <w:pPr>
              <w:pStyle w:val="464"/>
              <w:ind w:left="-57" w:right="-57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1,0</w:t>
            </w:r>
            <w:r/>
          </w:p>
        </w:tc>
        <w:tc>
          <w:tcPr>
            <w:tcW w:w="412" w:type="pct"/>
            <w:vAlign w:val="center"/>
            <w:textDirection w:val="lrTb"/>
            <w:noWrap w:val="false"/>
          </w:tcPr>
          <w:p>
            <w:pPr>
              <w:pStyle w:val="464"/>
              <w:ind w:left="-57" w:right="-57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/>
          </w:p>
        </w:tc>
        <w:tc>
          <w:tcPr>
            <w:tcW w:w="394" w:type="pct"/>
            <w:vAlign w:val="center"/>
            <w:textDirection w:val="lrTb"/>
            <w:noWrap w:val="false"/>
          </w:tcPr>
          <w:p>
            <w:pPr>
              <w:pStyle w:val="464"/>
              <w:ind w:left="-57" w:right="-57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0</w:t>
            </w:r>
            <w:r/>
          </w:p>
        </w:tc>
        <w:tc>
          <w:tcPr>
            <w:tcW w:w="434" w:type="pct"/>
            <w:vAlign w:val="center"/>
            <w:textDirection w:val="lrTb"/>
            <w:noWrap w:val="false"/>
          </w:tcPr>
          <w:p>
            <w:pPr>
              <w:pStyle w:val="464"/>
              <w:ind w:left="-57" w:right="-57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/>
          </w:p>
        </w:tc>
        <w:tc>
          <w:tcPr>
            <w:tcW w:w="329" w:type="pct"/>
            <w:vAlign w:val="center"/>
            <w:textDirection w:val="lrTb"/>
            <w:noWrap w:val="false"/>
          </w:tcPr>
          <w:p>
            <w:pPr>
              <w:pStyle w:val="464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158,49</w:t>
            </w:r>
            <w:r/>
          </w:p>
        </w:tc>
        <w:tc>
          <w:tcPr>
            <w:tcW w:w="500" w:type="pct"/>
            <w:vAlign w:val="center"/>
            <w:textDirection w:val="lrTb"/>
            <w:noWrap w:val="false"/>
          </w:tcPr>
          <w:p>
            <w:pPr>
              <w:pStyle w:val="464"/>
              <w:ind w:left="-57" w:right="-57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1,87</w:t>
            </w:r>
            <w:r/>
          </w:p>
        </w:tc>
        <w:tc>
          <w:tcPr>
            <w:tcW w:w="297" w:type="pct"/>
            <w:vAlign w:val="center"/>
            <w:textDirection w:val="lrTb"/>
            <w:noWrap w:val="false"/>
          </w:tcPr>
          <w:p>
            <w:pPr>
              <w:pStyle w:val="464"/>
              <w:ind w:left="-57" w:right="-57"/>
              <w:jc w:val="center"/>
              <w:tabs>
                <w:tab w:val="left" w:pos="710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495,04</w:t>
            </w:r>
            <w:r/>
          </w:p>
        </w:tc>
        <w:tc>
          <w:tcPr>
            <w:tcW w:w="519" w:type="pct"/>
            <w:vAlign w:val="center"/>
            <w:textDirection w:val="lrTb"/>
            <w:noWrap w:val="false"/>
          </w:tcPr>
          <w:p>
            <w:pPr>
              <w:pStyle w:val="464"/>
              <w:ind w:left="-57" w:right="-57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tcW w:w="332" w:type="pct"/>
            <w:vAlign w:val="center"/>
            <w:textDirection w:val="lrTb"/>
            <w:noWrap w:val="false"/>
          </w:tcPr>
          <w:p>
            <w:pPr>
              <w:pStyle w:val="464"/>
              <w:ind w:left="-57" w:right="-57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</w:tr>
    </w:tbl>
    <w:p>
      <w:pPr>
        <w:ind w:left="175" w:right="195" w:firstLine="540"/>
        <w:jc w:val="both"/>
        <w:spacing w:before="1"/>
        <w:rPr>
          <w:sz w:val="18"/>
          <w:szCs w:val="18"/>
        </w:rPr>
      </w:pPr>
      <w:r>
        <w:rPr>
          <w:sz w:val="18"/>
          <w:szCs w:val="18"/>
        </w:rPr>
        <w:t xml:space="preserve">&lt;*&gt;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 xml:space="preserve">Уровень надежности теплоснабжения (фактические значения показателей надежности и качества,</w:t>
      </w:r>
      <w:r>
        <w:rPr>
          <w:spacing w:val="50"/>
          <w:sz w:val="18"/>
          <w:szCs w:val="18"/>
        </w:rPr>
        <w:t xml:space="preserve"> </w:t>
      </w:r>
      <w:r>
        <w:rPr>
          <w:sz w:val="18"/>
          <w:szCs w:val="18"/>
        </w:rPr>
        <w:t xml:space="preserve">определенные за год, предшествующий году установления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 xml:space="preserve">тарифов на первый год долгосрочного периода регулирования, а также плановые значения показателей надежности и качества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 xml:space="preserve">на каждый год долгосрочного периода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 xml:space="preserve">регулирования).</w:t>
      </w:r>
      <w:r/>
    </w:p>
    <w:p>
      <w:pPr>
        <w:ind w:left="175" w:right="204" w:firstLine="540"/>
        <w:jc w:val="both"/>
        <w:spacing w:lineRule="auto" w:line="242" w:before="2"/>
        <w:rPr>
          <w:sz w:val="18"/>
          <w:szCs w:val="18"/>
        </w:rPr>
      </w:pPr>
      <w:r>
        <w:rPr>
          <w:sz w:val="18"/>
          <w:szCs w:val="18"/>
        </w:rPr>
        <w:t xml:space="preserve">&lt;**&gt;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 xml:space="preserve">Заполняется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 xml:space="preserve">в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 xml:space="preserve">случае,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 xml:space="preserve">если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 xml:space="preserve">в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 xml:space="preserve">отношении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 xml:space="preserve">регулируемой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 xml:space="preserve">организации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 xml:space="preserve">утверждена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 xml:space="preserve">программа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 xml:space="preserve">в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 xml:space="preserve">области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 xml:space="preserve">энергосбережения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 xml:space="preserve">и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 xml:space="preserve">повышения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 xml:space="preserve">энергетической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 xml:space="preserve">эффективности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 xml:space="preserve">в соответствии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 xml:space="preserve">с законодательством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 xml:space="preserve">Российской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 xml:space="preserve">Федерации об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 xml:space="preserve">энергосбережении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 xml:space="preserve">и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 xml:space="preserve">о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 xml:space="preserve">повышении энергетической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 xml:space="preserve">эффективности.</w:t>
      </w:r>
      <w:r/>
    </w:p>
    <w:p>
      <w:pPr>
        <w:ind w:left="175" w:right="204" w:firstLine="540"/>
        <w:jc w:val="both"/>
        <w:spacing w:lineRule="auto" w:line="242"/>
        <w:rPr>
          <w:sz w:val="18"/>
          <w:szCs w:val="18"/>
        </w:rPr>
      </w:pPr>
      <w:r>
        <w:rPr>
          <w:sz w:val="18"/>
          <w:szCs w:val="18"/>
        </w:rPr>
        <w:t xml:space="preserve">&lt;***&gt; Заполняется в случае, если орган регулирования применяет понижающий коэффициент на переходный период в соответствии с Правилами распределения расхода</w:t>
      </w:r>
      <w:r>
        <w:rPr>
          <w:spacing w:val="-47"/>
          <w:sz w:val="18"/>
          <w:szCs w:val="18"/>
        </w:rPr>
        <w:t xml:space="preserve"> </w:t>
      </w:r>
      <w:r>
        <w:rPr>
          <w:sz w:val="18"/>
          <w:szCs w:val="18"/>
        </w:rPr>
        <w:t xml:space="preserve">топлива.</w:t>
      </w:r>
      <w:r/>
    </w:p>
    <w:p>
      <w:pPr>
        <w:ind w:left="716"/>
        <w:spacing w:lineRule="exact" w:line="227"/>
        <w:rPr>
          <w:sz w:val="18"/>
          <w:szCs w:val="18"/>
        </w:rPr>
      </w:pPr>
      <w:r>
        <w:rPr>
          <w:sz w:val="18"/>
          <w:szCs w:val="18"/>
        </w:rPr>
      </w:r>
      <w:r/>
    </w:p>
    <w:p>
      <w:pPr>
        <w:ind w:left="716"/>
        <w:spacing w:lineRule="exact" w:line="227"/>
        <w:rPr>
          <w:sz w:val="18"/>
          <w:szCs w:val="18"/>
        </w:rPr>
      </w:pPr>
      <w:r>
        <w:rPr>
          <w:sz w:val="18"/>
          <w:szCs w:val="18"/>
        </w:rPr>
        <w:t xml:space="preserve">Примечание.</w:t>
      </w:r>
      <w:r/>
    </w:p>
    <w:p>
      <w:pPr>
        <w:ind w:left="716"/>
        <w:rPr>
          <w:sz w:val="18"/>
          <w:szCs w:val="18"/>
        </w:rPr>
      </w:pPr>
      <w:r>
        <w:rPr>
          <w:sz w:val="18"/>
          <w:szCs w:val="18"/>
        </w:rPr>
        <w:t xml:space="preserve">Приложение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 xml:space="preserve">заполняется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 xml:space="preserve">по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 xml:space="preserve">каждому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 xml:space="preserve">регулируемому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 xml:space="preserve">виду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 xml:space="preserve">деятельности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 xml:space="preserve">(передача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 xml:space="preserve">тепловой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 xml:space="preserve">энергии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 xml:space="preserve">и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 xml:space="preserve">теплоносителя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 xml:space="preserve">и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 xml:space="preserve">производство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 xml:space="preserve">тепловой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 xml:space="preserve">энергии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 xml:space="preserve">(мощности)).</w:t>
      </w:r>
      <w:r/>
    </w:p>
    <w:p>
      <w:pPr>
        <w:jc w:val="center"/>
        <w:rPr>
          <w:sz w:val="18"/>
          <w:szCs w:val="18"/>
        </w:rPr>
      </w:pPr>
      <w:r>
        <w:rPr>
          <w:sz w:val="18"/>
          <w:szCs w:val="18"/>
        </w:rPr>
      </w:r>
      <w:r/>
    </w:p>
    <w:p>
      <w:pPr>
        <w:jc w:val="center"/>
        <w:rPr>
          <w:sz w:val="18"/>
          <w:szCs w:val="18"/>
        </w:rPr>
        <w:sectPr>
          <w:footnotePr/>
          <w:endnotePr/>
          <w:type w:val="nextPage"/>
          <w:pgSz w:w="16838" w:h="11906" w:orient="landscape"/>
          <w:pgMar w:top="850" w:right="1134" w:bottom="426" w:left="1134" w:header="709" w:footer="709" w:gutter="0"/>
          <w:cols w:num="1" w:sep="0" w:space="708" w:equalWidth="1"/>
          <w:docGrid w:linePitch="360"/>
        </w:sectPr>
      </w:pPr>
      <w:r>
        <w:rPr>
          <w:sz w:val="18"/>
          <w:szCs w:val="18"/>
        </w:rPr>
      </w:r>
      <w:r/>
    </w:p>
    <w:p>
      <w:pPr>
        <w:pStyle w:val="46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</w:t>
      </w:r>
      <w:r>
        <w:rPr>
          <w:sz w:val="28"/>
          <w:szCs w:val="28"/>
          <w:lang w:val="ru-RU"/>
        </w:rPr>
        <w:t xml:space="preserve"> № 2</w:t>
      </w:r>
      <w:r>
        <w:rPr>
          <w:sz w:val="28"/>
          <w:szCs w:val="28"/>
        </w:rPr>
        <w:t xml:space="preserve"> к приказ</w:t>
      </w:r>
      <w:r>
        <w:rPr>
          <w:sz w:val="28"/>
          <w:szCs w:val="28"/>
          <w:lang w:val="ru-RU"/>
        </w:rPr>
        <w:t xml:space="preserve">у</w:t>
      </w:r>
      <w:r>
        <w:rPr>
          <w:sz w:val="28"/>
          <w:szCs w:val="28"/>
        </w:rPr>
        <w:t xml:space="preserve"> </w:t>
      </w:r>
      <w:r/>
    </w:p>
    <w:p>
      <w:pPr>
        <w:ind w:right="-1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Министерства по тарифному регулированию</w:t>
      </w:r>
      <w:r/>
    </w:p>
    <w:p>
      <w:pPr>
        <w:ind w:right="-1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и государственным закупкам Пензенской области</w:t>
      </w:r>
      <w:r/>
    </w:p>
    <w:p>
      <w:pPr>
        <w:pStyle w:val="460"/>
        <w:jc w:val="right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от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28.05.2026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№ </w:t>
      </w:r>
      <w:r>
        <w:rPr>
          <w:sz w:val="28"/>
          <w:szCs w:val="28"/>
          <w:lang w:val="ru-RU"/>
        </w:rPr>
        <w:t xml:space="preserve">31-39</w:t>
      </w:r>
      <w:r/>
    </w:p>
    <w:p>
      <w:pPr>
        <w:jc w:val="center"/>
        <w:rPr>
          <w:sz w:val="28"/>
          <w:szCs w:val="28"/>
        </w:rPr>
      </w:pPr>
      <w:r/>
      <w:bookmarkStart w:id="1" w:name="_GoBack"/>
      <w:r/>
      <w:bookmarkEnd w:id="1"/>
      <w:r/>
      <w:r/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ТАРИФЫ НА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 xml:space="preserve">ТЕПЛОВУЮ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ЭНЕРГИЮ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(МОЩНОСТЬ),</w:t>
      </w:r>
      <w:r/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ПОСТАВЛЯЕМУЮ</w:t>
      </w:r>
      <w:r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 xml:space="preserve">ПОТРЕБИТЕЛЯМ </w:t>
      </w:r>
      <w:r>
        <w:rPr>
          <w:sz w:val="28"/>
          <w:szCs w:val="28"/>
        </w:rPr>
        <w:t xml:space="preserve">ООО «СОЮЗ» НА ТЕРРИТОРИИ ЯСНОПОЛЯНСКОГО СЕЛЬСОВЕТА КУЗНЕЦКОГО РАЙОНА ПЕНЗЕНСКОЙ ОБЛАСТИ, НА ДОЛГОСРОЧНЫЙ ПЕРИОД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РЕГУЛИРОВАНИЯ 2026-2030 ГОДОВ</w:t>
      </w:r>
      <w:r/>
    </w:p>
    <w:tbl>
      <w:tblPr>
        <w:tblW w:w="5000" w:type="pct"/>
        <w:tblBorders>
          <w:left w:val="single" w:sz="4" w:space="0" w:color="auto"/>
          <w:top w:val="single" w:sz="4" w:space="0" w:color="auto"/>
          <w:right w:val="single" w:sz="4" w:space="0" w:color="auto"/>
          <w:bottom w:val="single" w:sz="4" w:space="0" w:color="auto"/>
          <w:insideV w:val="single" w:sz="4" w:space="0" w:color="auto"/>
          <w:insideH w:val="single" w:sz="4" w:space="0" w:color="auto"/>
        </w:tblBorders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632"/>
        <w:gridCol w:w="2975"/>
        <w:gridCol w:w="1574"/>
        <w:gridCol w:w="2544"/>
        <w:gridCol w:w="1754"/>
      </w:tblGrid>
      <w:tr>
        <w:trPr/>
        <w:tc>
          <w:tcPr>
            <w:tcW w:w="333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№</w:t>
            </w:r>
            <w:r/>
          </w:p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п</w:t>
            </w:r>
            <w:r>
              <w:rPr>
                <w:bCs/>
                <w:color w:val="000000"/>
                <w:sz w:val="22"/>
                <w:szCs w:val="22"/>
              </w:rPr>
              <w:t xml:space="preserve">/п</w:t>
            </w:r>
            <w:r/>
          </w:p>
        </w:tc>
        <w:tc>
          <w:tcPr>
            <w:tcW w:w="1569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Наименование регулируемой организации</w:t>
            </w:r>
            <w:r/>
          </w:p>
        </w:tc>
        <w:tc>
          <w:tcPr>
            <w:tcW w:w="830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Вид тарифа</w:t>
            </w:r>
            <w:r/>
          </w:p>
        </w:tc>
        <w:tc>
          <w:tcPr>
            <w:tcW w:w="1342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Год</w:t>
            </w:r>
            <w:r/>
          </w:p>
        </w:tc>
        <w:tc>
          <w:tcPr>
            <w:tcW w:w="925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2"/>
                <w:szCs w:val="22"/>
                <w:highlight w:val="yellow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Вода</w:t>
            </w:r>
            <w:r/>
          </w:p>
        </w:tc>
      </w:tr>
      <w:tr>
        <w:trPr/>
        <w:tc>
          <w:tcPr>
            <w:tcW w:w="333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1</w:t>
            </w:r>
            <w:r/>
          </w:p>
        </w:tc>
        <w:tc>
          <w:tcPr>
            <w:tcW w:w="1569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ООО «Союз»</w:t>
            </w:r>
            <w:r/>
          </w:p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</w:r>
            <w:r/>
          </w:p>
        </w:tc>
        <w:tc>
          <w:tcPr>
            <w:gridSpan w:val="3"/>
            <w:tcW w:w="3097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Для потребителей, в случае отсутствия дифференциации тарифов по схемам подключения</w:t>
            </w:r>
            <w:r/>
          </w:p>
        </w:tc>
      </w:tr>
      <w:tr>
        <w:trPr/>
        <w:tc>
          <w:tcPr>
            <w:tcW w:w="333" w:type="pct"/>
            <w:vMerge w:val="continue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</w:r>
            <w:r/>
          </w:p>
        </w:tc>
        <w:tc>
          <w:tcPr>
            <w:tcW w:w="1569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</w:r>
            <w:r/>
          </w:p>
        </w:tc>
        <w:tc>
          <w:tcPr>
            <w:tcW w:w="830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одноставочный</w:t>
            </w:r>
            <w:r>
              <w:rPr>
                <w:color w:val="000000"/>
                <w:sz w:val="22"/>
                <w:szCs w:val="22"/>
              </w:rPr>
              <w:t xml:space="preserve"> руб./Гкал</w:t>
            </w:r>
            <w:r/>
          </w:p>
        </w:tc>
        <w:tc>
          <w:tcPr>
            <w:tcW w:w="1342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с 28.05.2026 по 30.09.2026</w:t>
            </w:r>
            <w:r/>
          </w:p>
        </w:tc>
        <w:tc>
          <w:tcPr>
            <w:tcW w:w="925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2 593,72</w:t>
            </w:r>
            <w:r>
              <w:rPr>
                <w:bCs/>
                <w:sz w:val="21"/>
                <w:szCs w:val="21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&lt;**&gt;</w:t>
            </w:r>
            <w:r>
              <w:rPr>
                <w:bCs/>
                <w:sz w:val="21"/>
                <w:szCs w:val="21"/>
              </w:rPr>
              <w:t xml:space="preserve">   </w:t>
            </w:r>
            <w:r/>
          </w:p>
        </w:tc>
      </w:tr>
      <w:tr>
        <w:trPr/>
        <w:tc>
          <w:tcPr>
            <w:tcW w:w="333" w:type="pct"/>
            <w:vMerge w:val="continue"/>
            <w:textDirection w:val="lrTb"/>
            <w:noWrap w:val="false"/>
          </w:tcPr>
          <w:p>
            <w:pPr>
              <w:jc w:val="righ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</w:r>
            <w:r/>
          </w:p>
        </w:tc>
        <w:tc>
          <w:tcPr>
            <w:tcW w:w="1569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</w:r>
            <w:r/>
          </w:p>
        </w:tc>
        <w:tc>
          <w:tcPr>
            <w:tcW w:w="830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</w:r>
            <w:r/>
          </w:p>
        </w:tc>
        <w:tc>
          <w:tcPr>
            <w:tcW w:w="1342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с 01.10.2026 по 31.12.2026</w:t>
            </w:r>
            <w:r/>
          </w:p>
        </w:tc>
        <w:tc>
          <w:tcPr>
            <w:tcW w:w="925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2 890,44</w:t>
            </w:r>
            <w:r>
              <w:rPr>
                <w:bCs/>
                <w:sz w:val="21"/>
                <w:szCs w:val="21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&lt;**&gt;</w:t>
            </w:r>
            <w:r/>
          </w:p>
        </w:tc>
      </w:tr>
      <w:tr>
        <w:trPr/>
        <w:tc>
          <w:tcPr>
            <w:tcW w:w="333" w:type="pct"/>
            <w:vMerge w:val="continue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</w:r>
            <w:r/>
          </w:p>
        </w:tc>
        <w:tc>
          <w:tcPr>
            <w:tcW w:w="1569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</w:r>
            <w:r/>
          </w:p>
        </w:tc>
        <w:tc>
          <w:tcPr>
            <w:tcW w:w="830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</w:r>
            <w:r/>
          </w:p>
        </w:tc>
        <w:tc>
          <w:tcPr>
            <w:tcW w:w="1342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1"/>
                <w:szCs w:val="21"/>
              </w:rPr>
            </w:pPr>
            <w:r>
              <w:rPr>
                <w:bCs/>
                <w:color w:val="000000"/>
                <w:sz w:val="21"/>
                <w:szCs w:val="21"/>
              </w:rPr>
              <w:t xml:space="preserve">1-е полугодие 2027 года </w:t>
            </w:r>
            <w:r/>
          </w:p>
        </w:tc>
        <w:tc>
          <w:tcPr>
            <w:tcW w:w="925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2 890,44</w:t>
            </w:r>
            <w:r>
              <w:rPr>
                <w:bCs/>
                <w:sz w:val="21"/>
                <w:szCs w:val="21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&lt;**&gt;</w:t>
            </w:r>
            <w:r/>
          </w:p>
        </w:tc>
      </w:tr>
      <w:tr>
        <w:trPr/>
        <w:tc>
          <w:tcPr>
            <w:tcW w:w="333" w:type="pct"/>
            <w:vMerge w:val="continue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</w:r>
            <w:r/>
          </w:p>
        </w:tc>
        <w:tc>
          <w:tcPr>
            <w:tcW w:w="1569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</w:r>
            <w:r/>
          </w:p>
        </w:tc>
        <w:tc>
          <w:tcPr>
            <w:tcW w:w="830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</w:r>
            <w:r/>
          </w:p>
        </w:tc>
        <w:tc>
          <w:tcPr>
            <w:tcW w:w="1342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1"/>
                <w:szCs w:val="21"/>
              </w:rPr>
            </w:pPr>
            <w:r>
              <w:rPr>
                <w:bCs/>
                <w:color w:val="000000"/>
                <w:sz w:val="21"/>
                <w:szCs w:val="21"/>
              </w:rPr>
              <w:t xml:space="preserve">2-е полугодие 2027 года </w:t>
            </w:r>
            <w:r/>
          </w:p>
        </w:tc>
        <w:tc>
          <w:tcPr>
            <w:tcW w:w="925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3</w:t>
            </w:r>
            <w:r>
              <w:rPr>
                <w:color w:val="000000"/>
                <w:sz w:val="21"/>
                <w:szCs w:val="21"/>
              </w:rPr>
              <w:t xml:space="preserve"> </w:t>
            </w:r>
            <w:r>
              <w:rPr>
                <w:color w:val="000000"/>
                <w:sz w:val="21"/>
                <w:szCs w:val="21"/>
              </w:rPr>
              <w:t xml:space="preserve">208,05</w:t>
            </w:r>
            <w:r>
              <w:rPr>
                <w:bCs/>
                <w:sz w:val="21"/>
                <w:szCs w:val="21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&lt;**&gt;</w:t>
            </w:r>
            <w:r/>
          </w:p>
        </w:tc>
      </w:tr>
      <w:tr>
        <w:trPr/>
        <w:tc>
          <w:tcPr>
            <w:tcW w:w="333" w:type="pct"/>
            <w:vMerge w:val="continue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</w:r>
            <w:r/>
          </w:p>
        </w:tc>
        <w:tc>
          <w:tcPr>
            <w:tcW w:w="1569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</w:r>
            <w:r/>
          </w:p>
        </w:tc>
        <w:tc>
          <w:tcPr>
            <w:tcW w:w="830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</w:r>
            <w:r/>
          </w:p>
        </w:tc>
        <w:tc>
          <w:tcPr>
            <w:tcW w:w="1342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1"/>
                <w:szCs w:val="21"/>
              </w:rPr>
            </w:pPr>
            <w:r>
              <w:rPr>
                <w:bCs/>
                <w:color w:val="000000"/>
                <w:sz w:val="21"/>
                <w:szCs w:val="21"/>
              </w:rPr>
              <w:t xml:space="preserve">1-е полугодие 2028 года </w:t>
            </w:r>
            <w:r/>
          </w:p>
        </w:tc>
        <w:tc>
          <w:tcPr>
            <w:tcW w:w="925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3</w:t>
            </w:r>
            <w:r>
              <w:rPr>
                <w:color w:val="000000"/>
                <w:sz w:val="21"/>
                <w:szCs w:val="21"/>
              </w:rPr>
              <w:t xml:space="preserve"> </w:t>
            </w:r>
            <w:r>
              <w:rPr>
                <w:color w:val="000000"/>
                <w:sz w:val="21"/>
                <w:szCs w:val="21"/>
              </w:rPr>
              <w:t xml:space="preserve">208,05</w:t>
            </w:r>
            <w:r>
              <w:rPr>
                <w:bCs/>
                <w:sz w:val="21"/>
                <w:szCs w:val="21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&lt;**&gt;</w:t>
            </w:r>
            <w:r/>
          </w:p>
        </w:tc>
      </w:tr>
      <w:tr>
        <w:trPr/>
        <w:tc>
          <w:tcPr>
            <w:tcW w:w="333" w:type="pct"/>
            <w:vMerge w:val="continue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</w:r>
            <w:r/>
          </w:p>
        </w:tc>
        <w:tc>
          <w:tcPr>
            <w:tcW w:w="1569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</w:r>
            <w:r/>
          </w:p>
        </w:tc>
        <w:tc>
          <w:tcPr>
            <w:tcW w:w="830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</w:r>
            <w:r/>
          </w:p>
        </w:tc>
        <w:tc>
          <w:tcPr>
            <w:tcW w:w="1342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1"/>
                <w:szCs w:val="21"/>
              </w:rPr>
            </w:pPr>
            <w:r>
              <w:rPr>
                <w:bCs/>
                <w:color w:val="000000"/>
                <w:sz w:val="21"/>
                <w:szCs w:val="21"/>
              </w:rPr>
              <w:t xml:space="preserve">2-е полугодие 2028 года </w:t>
            </w:r>
            <w:r/>
          </w:p>
        </w:tc>
        <w:tc>
          <w:tcPr>
            <w:tcW w:w="925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3 442,28 </w:t>
            </w:r>
            <w:r>
              <w:rPr>
                <w:color w:val="000000"/>
                <w:sz w:val="22"/>
                <w:szCs w:val="22"/>
              </w:rPr>
              <w:t xml:space="preserve">&lt;**&gt;</w:t>
            </w:r>
            <w:r>
              <w:rPr>
                <w:color w:val="000000"/>
                <w:sz w:val="21"/>
                <w:szCs w:val="21"/>
              </w:rPr>
              <w:t xml:space="preserve">  </w:t>
            </w:r>
            <w:r/>
          </w:p>
        </w:tc>
      </w:tr>
      <w:tr>
        <w:trPr/>
        <w:tc>
          <w:tcPr>
            <w:tcW w:w="333" w:type="pct"/>
            <w:vMerge w:val="continue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</w:r>
            <w:r/>
          </w:p>
        </w:tc>
        <w:tc>
          <w:tcPr>
            <w:tcW w:w="1569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</w:r>
            <w:r/>
          </w:p>
        </w:tc>
        <w:tc>
          <w:tcPr>
            <w:tcW w:w="830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</w:r>
            <w:r/>
          </w:p>
        </w:tc>
        <w:tc>
          <w:tcPr>
            <w:tcW w:w="1342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1"/>
                <w:szCs w:val="21"/>
              </w:rPr>
            </w:pPr>
            <w:r>
              <w:rPr>
                <w:bCs/>
                <w:color w:val="000000"/>
                <w:sz w:val="21"/>
                <w:szCs w:val="21"/>
              </w:rPr>
              <w:t xml:space="preserve">1-е полугодие 2029 года </w:t>
            </w:r>
            <w:r/>
          </w:p>
        </w:tc>
        <w:tc>
          <w:tcPr>
            <w:tcW w:w="925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3 442,28</w:t>
            </w:r>
            <w:r>
              <w:rPr>
                <w:bCs/>
                <w:sz w:val="21"/>
                <w:szCs w:val="21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&lt;**&gt;</w:t>
            </w:r>
            <w:r>
              <w:rPr>
                <w:color w:val="000000"/>
                <w:sz w:val="21"/>
                <w:szCs w:val="21"/>
              </w:rPr>
              <w:t xml:space="preserve">   </w:t>
            </w:r>
            <w:r/>
          </w:p>
        </w:tc>
      </w:tr>
      <w:tr>
        <w:trPr/>
        <w:tc>
          <w:tcPr>
            <w:tcW w:w="333" w:type="pct"/>
            <w:vMerge w:val="continue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</w:r>
            <w:r/>
          </w:p>
        </w:tc>
        <w:tc>
          <w:tcPr>
            <w:tcW w:w="1569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</w:r>
            <w:r/>
          </w:p>
        </w:tc>
        <w:tc>
          <w:tcPr>
            <w:tcW w:w="830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</w:r>
            <w:r/>
          </w:p>
        </w:tc>
        <w:tc>
          <w:tcPr>
            <w:tcW w:w="1342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1"/>
                <w:szCs w:val="21"/>
              </w:rPr>
            </w:pPr>
            <w:r>
              <w:rPr>
                <w:bCs/>
                <w:color w:val="000000"/>
                <w:sz w:val="21"/>
                <w:szCs w:val="21"/>
              </w:rPr>
              <w:t xml:space="preserve">2-е полугодие 2029 года </w:t>
            </w:r>
            <w:r/>
          </w:p>
        </w:tc>
        <w:tc>
          <w:tcPr>
            <w:tcW w:w="925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3 479,64</w:t>
            </w:r>
            <w:r>
              <w:rPr>
                <w:bCs/>
                <w:sz w:val="21"/>
                <w:szCs w:val="21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&lt;**&gt;</w:t>
            </w:r>
            <w:r>
              <w:rPr>
                <w:color w:val="000000"/>
                <w:sz w:val="21"/>
                <w:szCs w:val="21"/>
              </w:rPr>
              <w:t xml:space="preserve">   </w:t>
            </w:r>
            <w:r/>
          </w:p>
        </w:tc>
      </w:tr>
      <w:tr>
        <w:trPr/>
        <w:tc>
          <w:tcPr>
            <w:tcW w:w="333" w:type="pct"/>
            <w:vMerge w:val="continue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</w:r>
            <w:r/>
          </w:p>
        </w:tc>
        <w:tc>
          <w:tcPr>
            <w:tcW w:w="1569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</w:r>
            <w:r/>
          </w:p>
        </w:tc>
        <w:tc>
          <w:tcPr>
            <w:tcW w:w="830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</w:r>
            <w:r/>
          </w:p>
        </w:tc>
        <w:tc>
          <w:tcPr>
            <w:tcW w:w="1342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1"/>
                <w:szCs w:val="21"/>
              </w:rPr>
            </w:pPr>
            <w:r>
              <w:rPr>
                <w:bCs/>
                <w:color w:val="000000"/>
                <w:sz w:val="21"/>
                <w:szCs w:val="21"/>
              </w:rPr>
              <w:t xml:space="preserve">1-е полугодие 2030 года </w:t>
            </w:r>
            <w:r/>
          </w:p>
        </w:tc>
        <w:tc>
          <w:tcPr>
            <w:tcW w:w="925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3 479,64</w:t>
            </w:r>
            <w:r>
              <w:rPr>
                <w:color w:val="000000"/>
                <w:sz w:val="21"/>
                <w:szCs w:val="21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&lt;**&gt;</w:t>
            </w:r>
            <w:r/>
          </w:p>
        </w:tc>
      </w:tr>
      <w:tr>
        <w:trPr/>
        <w:tc>
          <w:tcPr>
            <w:tcW w:w="333" w:type="pct"/>
            <w:vMerge w:val="continue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</w:r>
            <w:r/>
          </w:p>
        </w:tc>
        <w:tc>
          <w:tcPr>
            <w:tcW w:w="1569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</w:r>
            <w:r/>
          </w:p>
        </w:tc>
        <w:tc>
          <w:tcPr>
            <w:tcW w:w="830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</w:r>
            <w:r/>
          </w:p>
        </w:tc>
        <w:tc>
          <w:tcPr>
            <w:tcW w:w="1342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1"/>
                <w:szCs w:val="21"/>
              </w:rPr>
            </w:pPr>
            <w:r>
              <w:rPr>
                <w:bCs/>
                <w:color w:val="000000"/>
                <w:sz w:val="21"/>
                <w:szCs w:val="21"/>
              </w:rPr>
              <w:t xml:space="preserve">2-е полугодие 2030 года </w:t>
            </w:r>
            <w:r/>
          </w:p>
        </w:tc>
        <w:tc>
          <w:tcPr>
            <w:tcW w:w="925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3 827,29</w:t>
            </w:r>
            <w:r>
              <w:rPr>
                <w:bCs/>
                <w:sz w:val="21"/>
                <w:szCs w:val="21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&lt;**&gt;</w:t>
            </w:r>
            <w:r>
              <w:rPr>
                <w:color w:val="000000"/>
                <w:sz w:val="21"/>
                <w:szCs w:val="21"/>
              </w:rPr>
              <w:t xml:space="preserve">   </w:t>
            </w:r>
            <w:r/>
          </w:p>
        </w:tc>
      </w:tr>
      <w:tr>
        <w:trPr/>
        <w:tc>
          <w:tcPr>
            <w:tcW w:w="333" w:type="pct"/>
            <w:vMerge w:val="continue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</w:r>
            <w:r/>
          </w:p>
        </w:tc>
        <w:tc>
          <w:tcPr>
            <w:tcW w:w="1569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</w:r>
            <w:r/>
          </w:p>
        </w:tc>
        <w:tc>
          <w:tcPr>
            <w:gridSpan w:val="3"/>
            <w:tcW w:w="3097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Население (тарифы указываются с учетом НДС) &lt;*&gt;</w:t>
            </w:r>
            <w:r/>
          </w:p>
        </w:tc>
      </w:tr>
      <w:tr>
        <w:trPr/>
        <w:tc>
          <w:tcPr>
            <w:tcW w:w="333" w:type="pct"/>
            <w:vMerge w:val="continue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</w:r>
            <w:r/>
          </w:p>
        </w:tc>
        <w:tc>
          <w:tcPr>
            <w:tcW w:w="1569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</w:r>
            <w:r/>
          </w:p>
        </w:tc>
        <w:tc>
          <w:tcPr>
            <w:tcW w:w="830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одноставочный</w:t>
            </w:r>
            <w:r>
              <w:rPr>
                <w:color w:val="000000"/>
                <w:sz w:val="22"/>
                <w:szCs w:val="22"/>
              </w:rPr>
              <w:t xml:space="preserve"> руб./Гкал</w:t>
            </w:r>
            <w:r/>
          </w:p>
        </w:tc>
        <w:tc>
          <w:tcPr>
            <w:tcW w:w="1342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с 28.05.2026 по 30.09.2026</w:t>
            </w:r>
            <w:r/>
          </w:p>
        </w:tc>
        <w:tc>
          <w:tcPr>
            <w:tcW w:w="925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2 593,72</w:t>
            </w:r>
            <w:r>
              <w:rPr>
                <w:bCs/>
                <w:sz w:val="21"/>
                <w:szCs w:val="21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&lt;**&gt;</w:t>
            </w:r>
            <w:r>
              <w:rPr>
                <w:bCs/>
                <w:sz w:val="21"/>
                <w:szCs w:val="21"/>
              </w:rPr>
              <w:t xml:space="preserve">   </w:t>
            </w:r>
            <w:r/>
          </w:p>
        </w:tc>
      </w:tr>
      <w:tr>
        <w:trPr/>
        <w:tc>
          <w:tcPr>
            <w:tcW w:w="333" w:type="pct"/>
            <w:vMerge w:val="continue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</w:r>
            <w:r/>
          </w:p>
        </w:tc>
        <w:tc>
          <w:tcPr>
            <w:tcW w:w="1569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</w:r>
            <w:r/>
          </w:p>
        </w:tc>
        <w:tc>
          <w:tcPr>
            <w:tcW w:w="830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</w:r>
            <w:r/>
          </w:p>
        </w:tc>
        <w:tc>
          <w:tcPr>
            <w:tcW w:w="1342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1"/>
                <w:szCs w:val="21"/>
              </w:rPr>
            </w:pPr>
            <w:r>
              <w:rPr>
                <w:bCs/>
                <w:color w:val="000000"/>
                <w:sz w:val="21"/>
                <w:szCs w:val="21"/>
              </w:rPr>
              <w:t xml:space="preserve">с 01.10.2026 по 31.12.2026</w:t>
            </w:r>
            <w:r/>
          </w:p>
        </w:tc>
        <w:tc>
          <w:tcPr>
            <w:tcW w:w="925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2 890,44</w:t>
            </w:r>
            <w:r>
              <w:rPr>
                <w:bCs/>
                <w:sz w:val="21"/>
                <w:szCs w:val="21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&lt;**&gt;</w:t>
            </w:r>
            <w:r/>
          </w:p>
        </w:tc>
      </w:tr>
      <w:tr>
        <w:trPr/>
        <w:tc>
          <w:tcPr>
            <w:tcW w:w="333" w:type="pct"/>
            <w:vMerge w:val="continue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</w:r>
            <w:r/>
          </w:p>
        </w:tc>
        <w:tc>
          <w:tcPr>
            <w:tcW w:w="1569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</w:r>
            <w:r/>
          </w:p>
        </w:tc>
        <w:tc>
          <w:tcPr>
            <w:tcW w:w="830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</w:r>
            <w:r/>
          </w:p>
        </w:tc>
        <w:tc>
          <w:tcPr>
            <w:tcW w:w="1342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1"/>
                <w:szCs w:val="21"/>
              </w:rPr>
            </w:pPr>
            <w:r>
              <w:rPr>
                <w:bCs/>
                <w:color w:val="000000"/>
                <w:sz w:val="21"/>
                <w:szCs w:val="21"/>
              </w:rPr>
              <w:t xml:space="preserve">1-е полугодие 2027 года </w:t>
            </w:r>
            <w:r/>
          </w:p>
        </w:tc>
        <w:tc>
          <w:tcPr>
            <w:tcW w:w="925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2 890,44</w:t>
            </w:r>
            <w:r>
              <w:rPr>
                <w:bCs/>
                <w:sz w:val="21"/>
                <w:szCs w:val="21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&lt;**&gt;</w:t>
            </w:r>
            <w:r/>
          </w:p>
        </w:tc>
      </w:tr>
      <w:tr>
        <w:trPr/>
        <w:tc>
          <w:tcPr>
            <w:tcW w:w="333" w:type="pct"/>
            <w:vMerge w:val="continue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</w:r>
            <w:r/>
          </w:p>
        </w:tc>
        <w:tc>
          <w:tcPr>
            <w:tcW w:w="1569" w:type="pct"/>
            <w:vMerge w:val="continue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</w:r>
            <w:r/>
          </w:p>
        </w:tc>
        <w:tc>
          <w:tcPr>
            <w:tcW w:w="830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</w:r>
            <w:r/>
          </w:p>
        </w:tc>
        <w:tc>
          <w:tcPr>
            <w:tcW w:w="1342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1"/>
                <w:szCs w:val="21"/>
              </w:rPr>
            </w:pPr>
            <w:r>
              <w:rPr>
                <w:bCs/>
                <w:color w:val="000000"/>
                <w:sz w:val="21"/>
                <w:szCs w:val="21"/>
              </w:rPr>
              <w:t xml:space="preserve">2-е полугодие 2027 года </w:t>
            </w:r>
            <w:r/>
          </w:p>
        </w:tc>
        <w:tc>
          <w:tcPr>
            <w:tcW w:w="925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3</w:t>
            </w:r>
            <w:r>
              <w:rPr>
                <w:color w:val="000000"/>
                <w:sz w:val="21"/>
                <w:szCs w:val="21"/>
              </w:rPr>
              <w:t xml:space="preserve"> </w:t>
            </w:r>
            <w:r>
              <w:rPr>
                <w:color w:val="000000"/>
                <w:sz w:val="21"/>
                <w:szCs w:val="21"/>
              </w:rPr>
              <w:t xml:space="preserve">208,05</w:t>
            </w:r>
            <w:r>
              <w:rPr>
                <w:bCs/>
                <w:sz w:val="21"/>
                <w:szCs w:val="21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&lt;**&gt;</w:t>
            </w:r>
            <w:r/>
          </w:p>
        </w:tc>
      </w:tr>
      <w:tr>
        <w:trPr/>
        <w:tc>
          <w:tcPr>
            <w:tcW w:w="333" w:type="pct"/>
            <w:vMerge w:val="continue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</w:r>
            <w:r/>
          </w:p>
        </w:tc>
        <w:tc>
          <w:tcPr>
            <w:tcW w:w="1569" w:type="pct"/>
            <w:vMerge w:val="continue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</w:r>
            <w:r/>
          </w:p>
        </w:tc>
        <w:tc>
          <w:tcPr>
            <w:tcW w:w="830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</w:r>
            <w:r/>
          </w:p>
        </w:tc>
        <w:tc>
          <w:tcPr>
            <w:tcW w:w="1342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1"/>
                <w:szCs w:val="21"/>
              </w:rPr>
            </w:pPr>
            <w:r>
              <w:rPr>
                <w:bCs/>
                <w:color w:val="000000"/>
                <w:sz w:val="21"/>
                <w:szCs w:val="21"/>
              </w:rPr>
              <w:t xml:space="preserve">1-е полугодие 2028 года </w:t>
            </w:r>
            <w:r/>
          </w:p>
        </w:tc>
        <w:tc>
          <w:tcPr>
            <w:tcW w:w="925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3</w:t>
            </w:r>
            <w:r>
              <w:rPr>
                <w:color w:val="000000"/>
                <w:sz w:val="21"/>
                <w:szCs w:val="21"/>
              </w:rPr>
              <w:t xml:space="preserve"> </w:t>
            </w:r>
            <w:r>
              <w:rPr>
                <w:color w:val="000000"/>
                <w:sz w:val="21"/>
                <w:szCs w:val="21"/>
              </w:rPr>
              <w:t xml:space="preserve">208,05</w:t>
            </w:r>
            <w:r>
              <w:rPr>
                <w:bCs/>
                <w:sz w:val="21"/>
                <w:szCs w:val="21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&lt;**&gt;</w:t>
            </w:r>
            <w:r/>
          </w:p>
        </w:tc>
      </w:tr>
      <w:tr>
        <w:trPr/>
        <w:tc>
          <w:tcPr>
            <w:tcW w:w="333" w:type="pct"/>
            <w:vMerge w:val="continue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</w:r>
            <w:r/>
          </w:p>
        </w:tc>
        <w:tc>
          <w:tcPr>
            <w:tcW w:w="1569" w:type="pct"/>
            <w:vMerge w:val="continue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</w:r>
            <w:r/>
          </w:p>
        </w:tc>
        <w:tc>
          <w:tcPr>
            <w:tcW w:w="830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</w:r>
            <w:r/>
          </w:p>
        </w:tc>
        <w:tc>
          <w:tcPr>
            <w:tcW w:w="1342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1"/>
                <w:szCs w:val="21"/>
              </w:rPr>
            </w:pPr>
            <w:r>
              <w:rPr>
                <w:bCs/>
                <w:color w:val="000000"/>
                <w:sz w:val="21"/>
                <w:szCs w:val="21"/>
              </w:rPr>
              <w:t xml:space="preserve">2-е полугодие 2028 года </w:t>
            </w:r>
            <w:r/>
          </w:p>
        </w:tc>
        <w:tc>
          <w:tcPr>
            <w:tcW w:w="925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3 442,28 </w:t>
            </w:r>
            <w:r>
              <w:rPr>
                <w:color w:val="000000"/>
                <w:sz w:val="22"/>
                <w:szCs w:val="22"/>
              </w:rPr>
              <w:t xml:space="preserve">&lt;**&gt;</w:t>
            </w:r>
            <w:r>
              <w:rPr>
                <w:color w:val="000000"/>
                <w:sz w:val="21"/>
                <w:szCs w:val="21"/>
              </w:rPr>
              <w:t xml:space="preserve">  </w:t>
            </w:r>
            <w:r/>
          </w:p>
        </w:tc>
      </w:tr>
      <w:tr>
        <w:trPr/>
        <w:tc>
          <w:tcPr>
            <w:tcW w:w="333" w:type="pct"/>
            <w:vMerge w:val="continue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</w:r>
            <w:r/>
          </w:p>
        </w:tc>
        <w:tc>
          <w:tcPr>
            <w:tcW w:w="1569" w:type="pct"/>
            <w:vMerge w:val="continue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</w:r>
            <w:r/>
          </w:p>
        </w:tc>
        <w:tc>
          <w:tcPr>
            <w:tcW w:w="830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</w:r>
            <w:r/>
          </w:p>
        </w:tc>
        <w:tc>
          <w:tcPr>
            <w:tcW w:w="1342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1"/>
                <w:szCs w:val="21"/>
              </w:rPr>
            </w:pPr>
            <w:r>
              <w:rPr>
                <w:bCs/>
                <w:color w:val="000000"/>
                <w:sz w:val="21"/>
                <w:szCs w:val="21"/>
              </w:rPr>
              <w:t xml:space="preserve">1-е полугодие 2029 года </w:t>
            </w:r>
            <w:r/>
          </w:p>
        </w:tc>
        <w:tc>
          <w:tcPr>
            <w:tcW w:w="925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3 442,28</w:t>
            </w:r>
            <w:r>
              <w:rPr>
                <w:bCs/>
                <w:sz w:val="21"/>
                <w:szCs w:val="21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&lt;**&gt;</w:t>
            </w:r>
            <w:r>
              <w:rPr>
                <w:color w:val="000000"/>
                <w:sz w:val="21"/>
                <w:szCs w:val="21"/>
              </w:rPr>
              <w:t xml:space="preserve">   </w:t>
            </w:r>
            <w:r/>
          </w:p>
        </w:tc>
      </w:tr>
      <w:tr>
        <w:trPr/>
        <w:tc>
          <w:tcPr>
            <w:tcW w:w="333" w:type="pct"/>
            <w:vMerge w:val="continue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</w:r>
            <w:r/>
          </w:p>
        </w:tc>
        <w:tc>
          <w:tcPr>
            <w:tcW w:w="1569" w:type="pct"/>
            <w:vMerge w:val="continue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</w:r>
            <w:r/>
          </w:p>
        </w:tc>
        <w:tc>
          <w:tcPr>
            <w:tcW w:w="830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</w:r>
            <w:r/>
          </w:p>
        </w:tc>
        <w:tc>
          <w:tcPr>
            <w:tcW w:w="1342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1"/>
                <w:szCs w:val="21"/>
              </w:rPr>
            </w:pPr>
            <w:r>
              <w:rPr>
                <w:bCs/>
                <w:color w:val="000000"/>
                <w:sz w:val="21"/>
                <w:szCs w:val="21"/>
              </w:rPr>
              <w:t xml:space="preserve">2-е полугодие 2029 года </w:t>
            </w:r>
            <w:r/>
          </w:p>
        </w:tc>
        <w:tc>
          <w:tcPr>
            <w:tcW w:w="925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3 479,64</w:t>
            </w:r>
            <w:r>
              <w:rPr>
                <w:bCs/>
                <w:sz w:val="21"/>
                <w:szCs w:val="21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&lt;**&gt;</w:t>
            </w:r>
            <w:r>
              <w:rPr>
                <w:color w:val="000000"/>
                <w:sz w:val="21"/>
                <w:szCs w:val="21"/>
              </w:rPr>
              <w:t xml:space="preserve">   </w:t>
            </w:r>
            <w:r/>
          </w:p>
        </w:tc>
      </w:tr>
      <w:tr>
        <w:trPr/>
        <w:tc>
          <w:tcPr>
            <w:tcW w:w="333" w:type="pct"/>
            <w:vMerge w:val="continue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</w:r>
            <w:r/>
          </w:p>
        </w:tc>
        <w:tc>
          <w:tcPr>
            <w:tcW w:w="1569" w:type="pct"/>
            <w:vMerge w:val="continue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</w:r>
            <w:r/>
          </w:p>
        </w:tc>
        <w:tc>
          <w:tcPr>
            <w:tcW w:w="830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</w:r>
            <w:r/>
          </w:p>
        </w:tc>
        <w:tc>
          <w:tcPr>
            <w:tcW w:w="1342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1"/>
                <w:szCs w:val="21"/>
              </w:rPr>
            </w:pPr>
            <w:r>
              <w:rPr>
                <w:bCs/>
                <w:color w:val="000000"/>
                <w:sz w:val="21"/>
                <w:szCs w:val="21"/>
              </w:rPr>
              <w:t xml:space="preserve">1-е полугодие 2030 года </w:t>
            </w:r>
            <w:r/>
          </w:p>
        </w:tc>
        <w:tc>
          <w:tcPr>
            <w:tcW w:w="925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3 479,64</w:t>
            </w:r>
            <w:r>
              <w:rPr>
                <w:color w:val="000000"/>
                <w:sz w:val="21"/>
                <w:szCs w:val="21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&lt;**&gt;</w:t>
            </w:r>
            <w:r/>
          </w:p>
        </w:tc>
      </w:tr>
      <w:tr>
        <w:trPr/>
        <w:tc>
          <w:tcPr>
            <w:tcW w:w="333" w:type="pct"/>
            <w:vMerge w:val="continue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</w:r>
            <w:r/>
          </w:p>
        </w:tc>
        <w:tc>
          <w:tcPr>
            <w:tcW w:w="1569" w:type="pct"/>
            <w:vMerge w:val="continue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</w:r>
            <w:r/>
          </w:p>
        </w:tc>
        <w:tc>
          <w:tcPr>
            <w:tcW w:w="830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</w:r>
            <w:r/>
          </w:p>
        </w:tc>
        <w:tc>
          <w:tcPr>
            <w:tcW w:w="1342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1"/>
                <w:szCs w:val="21"/>
              </w:rPr>
            </w:pPr>
            <w:r>
              <w:rPr>
                <w:bCs/>
                <w:color w:val="000000"/>
                <w:sz w:val="21"/>
                <w:szCs w:val="21"/>
              </w:rPr>
              <w:t xml:space="preserve">2</w:t>
            </w:r>
            <w:r>
              <w:rPr>
                <w:bCs/>
                <w:color w:val="000000"/>
                <w:sz w:val="21"/>
                <w:szCs w:val="21"/>
              </w:rPr>
              <w:t xml:space="preserve">-е полугодие 2030 года</w:t>
            </w:r>
            <w:r/>
          </w:p>
        </w:tc>
        <w:tc>
          <w:tcPr>
            <w:tcW w:w="925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3 827,29</w:t>
            </w:r>
            <w:r>
              <w:rPr>
                <w:bCs/>
                <w:sz w:val="21"/>
                <w:szCs w:val="21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&lt;**&gt;</w:t>
            </w:r>
            <w:r>
              <w:rPr>
                <w:color w:val="000000"/>
                <w:sz w:val="21"/>
                <w:szCs w:val="21"/>
              </w:rPr>
              <w:t xml:space="preserve">   </w:t>
            </w:r>
            <w:r/>
          </w:p>
        </w:tc>
      </w:tr>
    </w:tbl>
    <w:p>
      <w:pPr>
        <w:ind w:firstLine="540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&lt;*&gt; Выделяется в целях реализации </w:t>
      </w:r>
      <w:hyperlink r:id="rId14" w:tooltip="consultantplus://offline/ref=45CAD77840989460C1F19F95DF4B58957112F98699C8DD5E3AC9B9BFDC98218C8A7E67A6D769E6C4w8VCI" w:history="1">
        <w:r>
          <w:rPr>
            <w:color w:val="000000"/>
            <w:sz w:val="18"/>
            <w:szCs w:val="18"/>
          </w:rPr>
          <w:t xml:space="preserve">пункта 6 статьи 168</w:t>
        </w:r>
      </w:hyperlink>
      <w:r>
        <w:rPr>
          <w:color w:val="000000"/>
          <w:sz w:val="18"/>
          <w:szCs w:val="18"/>
        </w:rPr>
        <w:t xml:space="preserve"> Налогового кодекса Российской Федерации (часть вторая).</w:t>
      </w:r>
      <w:r/>
    </w:p>
    <w:p>
      <w:pPr>
        <w:ind w:firstLine="540"/>
        <w:jc w:val="both"/>
        <w:rPr>
          <w:sz w:val="20"/>
          <w:szCs w:val="20"/>
        </w:rPr>
      </w:pPr>
      <w:r>
        <w:rPr>
          <w:color w:val="000000"/>
          <w:sz w:val="18"/>
          <w:szCs w:val="18"/>
        </w:rPr>
        <w:t xml:space="preserve">&lt;**&gt; НДС не облагается (в отношении организации применяется упрощенная система налогообложения в соответствии с </w:t>
      </w:r>
      <w:hyperlink r:id="rId15" w:tooltip="consultantplus://offline/ref=4DA56A0F6AA0C6D787AF2471D0D673AEEC94DF974977C1D15E4A97B4669B0BAF5B92423D53C3CA8AQ0W1I" w:history="1">
        <w:r>
          <w:rPr>
            <w:color w:val="000000"/>
            <w:sz w:val="18"/>
            <w:szCs w:val="18"/>
          </w:rPr>
          <w:t xml:space="preserve">главой 26.2</w:t>
        </w:r>
      </w:hyperlink>
      <w:r>
        <w:rPr>
          <w:color w:val="000000"/>
          <w:sz w:val="18"/>
          <w:szCs w:val="18"/>
        </w:rPr>
        <w:t xml:space="preserve"> Налогового кодекса Российской Федерации).</w:t>
      </w:r>
      <w:r/>
    </w:p>
    <w:sectPr>
      <w:footnotePr/>
      <w:endnotePr/>
      <w:type w:val="nextPage"/>
      <w:pgSz w:w="11906" w:h="16838" w:orient="portrait"/>
      <w:pgMar w:top="709" w:right="850" w:bottom="568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  <w:rPr>
        <w:rFonts w:hint="default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Calibri" w:eastAsia="Calibri"/>
        <w:sz w:val="22"/>
        <w:szCs w:val="22"/>
        <w:lang w:val="ru-RU" w:bidi="ar-SA" w:eastAsia="en-US"/>
      </w:rPr>
    </w:rPrDefault>
    <w:pPrDefault>
      <w:pPr>
        <w:spacing w:lineRule="auto" w:line="276" w:after="20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453"/>
    <w:next w:val="453"/>
    <w:link w:val="12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12">
    <w:name w:val="Heading 1 Char"/>
    <w:basedOn w:val="454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453"/>
    <w:next w:val="453"/>
    <w:link w:val="14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14">
    <w:name w:val="Heading 2 Char"/>
    <w:basedOn w:val="454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453"/>
    <w:next w:val="453"/>
    <w:link w:val="16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16">
    <w:name w:val="Heading 3 Char"/>
    <w:basedOn w:val="454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453"/>
    <w:next w:val="453"/>
    <w:link w:val="18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18">
    <w:name w:val="Heading 4 Char"/>
    <w:basedOn w:val="454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453"/>
    <w:next w:val="453"/>
    <w:link w:val="20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20">
    <w:name w:val="Heading 5 Char"/>
    <w:basedOn w:val="454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453"/>
    <w:next w:val="453"/>
    <w:link w:val="22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22">
    <w:name w:val="Heading 6 Char"/>
    <w:basedOn w:val="454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453"/>
    <w:next w:val="453"/>
    <w:link w:val="24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24">
    <w:name w:val="Heading 7 Char"/>
    <w:basedOn w:val="454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453"/>
    <w:next w:val="453"/>
    <w:link w:val="26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26">
    <w:name w:val="Heading 8 Char"/>
    <w:basedOn w:val="454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453"/>
    <w:next w:val="453"/>
    <w:link w:val="28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28">
    <w:name w:val="Heading 9 Char"/>
    <w:basedOn w:val="454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29">
    <w:name w:val="List Paragraph"/>
    <w:basedOn w:val="453"/>
    <w:qFormat/>
    <w:uiPriority w:val="34"/>
    <w:pPr>
      <w:contextualSpacing w:val="true"/>
      <w:ind w:left="720"/>
    </w:pPr>
  </w:style>
  <w:style w:type="paragraph" w:styleId="31">
    <w:name w:val="No Spacing"/>
    <w:qFormat/>
    <w:uiPriority w:val="1"/>
    <w:pPr>
      <w:spacing w:lineRule="auto" w:line="240" w:after="0" w:before="0"/>
    </w:pPr>
  </w:style>
  <w:style w:type="paragraph" w:styleId="32">
    <w:name w:val="Title"/>
    <w:basedOn w:val="453"/>
    <w:next w:val="453"/>
    <w:link w:val="33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33">
    <w:name w:val="Title Char"/>
    <w:basedOn w:val="454"/>
    <w:link w:val="32"/>
    <w:uiPriority w:val="10"/>
    <w:rPr>
      <w:sz w:val="48"/>
      <w:szCs w:val="48"/>
    </w:rPr>
  </w:style>
  <w:style w:type="paragraph" w:styleId="34">
    <w:name w:val="Subtitle"/>
    <w:basedOn w:val="453"/>
    <w:next w:val="453"/>
    <w:link w:val="35"/>
    <w:qFormat/>
    <w:uiPriority w:val="11"/>
    <w:rPr>
      <w:sz w:val="24"/>
      <w:szCs w:val="24"/>
    </w:rPr>
    <w:pPr>
      <w:spacing w:after="200" w:before="200"/>
    </w:pPr>
  </w:style>
  <w:style w:type="character" w:styleId="35">
    <w:name w:val="Subtitle Char"/>
    <w:basedOn w:val="454"/>
    <w:link w:val="34"/>
    <w:uiPriority w:val="11"/>
    <w:rPr>
      <w:sz w:val="24"/>
      <w:szCs w:val="24"/>
    </w:rPr>
  </w:style>
  <w:style w:type="paragraph" w:styleId="36">
    <w:name w:val="Quote"/>
    <w:basedOn w:val="453"/>
    <w:next w:val="453"/>
    <w:link w:val="37"/>
    <w:qFormat/>
    <w:uiPriority w:val="29"/>
    <w:rPr>
      <w:i/>
    </w:rPr>
    <w:pPr>
      <w:ind w:left="720" w:right="720"/>
    </w:p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453"/>
    <w:next w:val="453"/>
    <w:link w:val="39"/>
    <w:qFormat/>
    <w:uiPriority w:val="30"/>
    <w:rPr>
      <w:i/>
    </w:rPr>
    <w:pPr>
      <w:contextualSpacing w:val="false"/>
      <w:ind w:left="720" w:right="720"/>
      <w:shd w:val="clear" w:fill="F2F2F2" w:color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39">
    <w:name w:val="Intense Quote Char"/>
    <w:link w:val="38"/>
    <w:uiPriority w:val="30"/>
    <w:rPr>
      <w:i/>
    </w:rPr>
  </w:style>
  <w:style w:type="character" w:styleId="41">
    <w:name w:val="Header Char"/>
    <w:basedOn w:val="454"/>
    <w:link w:val="465"/>
    <w:uiPriority w:val="99"/>
  </w:style>
  <w:style w:type="character" w:styleId="43">
    <w:name w:val="Footer Char"/>
    <w:basedOn w:val="454"/>
    <w:link w:val="467"/>
    <w:uiPriority w:val="99"/>
  </w:style>
  <w:style w:type="paragraph" w:styleId="44">
    <w:name w:val="Caption"/>
    <w:basedOn w:val="453"/>
    <w:next w:val="453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45">
    <w:name w:val="Caption Char"/>
    <w:basedOn w:val="44"/>
    <w:link w:val="467"/>
    <w:uiPriority w:val="99"/>
  </w:style>
  <w:style w:type="table" w:styleId="46">
    <w:name w:val="Table Grid"/>
    <w:basedOn w:val="455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455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455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455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45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45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45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fill="FFFFFF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fill="FFFFFF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3">
    <w:name w:val="Grid Table 1 Light"/>
    <w:basedOn w:val="45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45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45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45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45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45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45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45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1">
    <w:name w:val="Grid Table 2 - Accent 1"/>
    <w:basedOn w:val="45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2">
    <w:name w:val="Grid Table 2 - Accent 2"/>
    <w:basedOn w:val="45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3">
    <w:name w:val="Grid Table 2 - Accent 3"/>
    <w:basedOn w:val="45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4">
    <w:name w:val="Grid Table 2 - Accent 4"/>
    <w:basedOn w:val="45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5">
    <w:name w:val="Grid Table 2 - Accent 5"/>
    <w:basedOn w:val="45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6">
    <w:name w:val="Grid Table 2 - Accent 6"/>
    <w:basedOn w:val="45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7">
    <w:name w:val="Grid Table 3"/>
    <w:basedOn w:val="45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">
    <w:name w:val="Grid Table 3 - Accent 1"/>
    <w:basedOn w:val="45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">
    <w:name w:val="Grid Table 3 - Accent 2"/>
    <w:basedOn w:val="45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">
    <w:name w:val="Grid Table 3 - Accent 3"/>
    <w:basedOn w:val="45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">
    <w:name w:val="Grid Table 3 - Accent 4"/>
    <w:basedOn w:val="45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">
    <w:name w:val="Grid Table 3 - Accent 5"/>
    <w:basedOn w:val="45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">
    <w:name w:val="Grid Table 3 - Accent 6"/>
    <w:basedOn w:val="45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">
    <w:name w:val="Grid Table 4"/>
    <w:basedOn w:val="45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5">
    <w:name w:val="Grid Table 4 - Accent 1"/>
    <w:basedOn w:val="45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6">
    <w:name w:val="Grid Table 4 - Accent 2"/>
    <w:basedOn w:val="45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7">
    <w:name w:val="Grid Table 4 - Accent 3"/>
    <w:basedOn w:val="45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8">
    <w:name w:val="Grid Table 4 - Accent 4"/>
    <w:basedOn w:val="45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9">
    <w:name w:val="Grid Table 4 - Accent 5"/>
    <w:basedOn w:val="45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80">
    <w:name w:val="Grid Table 4 - Accent 6"/>
    <w:basedOn w:val="45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81">
    <w:name w:val="Grid Table 5 Dark"/>
    <w:basedOn w:val="45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text1" w:themeFillTint="40"/>
    </w:tblPr>
    <w:tblStylePr w:type="band1Horz">
      <w:tcPr>
        <w:shd w:val="clear" w:fill="FFFFFF" w:color="FFFFFF" w:themeFill="text1" w:themeFillTint="75"/>
      </w:tcPr>
    </w:tblStylePr>
    <w:tblStylePr w:type="band1Vert">
      <w:tcPr>
        <w:shd w:val="clear" w:fill="FFFFFF" w:color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top w:val="single" w:color="000000" w:sz="4" w:space="0" w:themeColor="light1"/>
        </w:tcBorders>
      </w:tcPr>
    </w:tblStylePr>
  </w:style>
  <w:style w:type="table" w:styleId="82">
    <w:name w:val="Grid Table 5 Dark- Accent 1"/>
    <w:basedOn w:val="45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1" w:themeFillTint="34"/>
    </w:tblPr>
    <w:tblStylePr w:type="band1Horz">
      <w:tcPr>
        <w:shd w:val="clear" w:fill="FFFFFF" w:color="FFFFFF" w:themeFill="accent1" w:themeFillTint="75"/>
      </w:tcPr>
    </w:tblStylePr>
    <w:tblStylePr w:type="band1Vert">
      <w:tcPr>
        <w:shd w:val="clear" w:fill="FFFFFF" w:color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1"/>
        <w:tcBorders>
          <w:top w:val="single" w:color="000000" w:sz="4" w:space="0" w:themeColor="light1"/>
        </w:tcBorders>
      </w:tcPr>
    </w:tblStylePr>
  </w:style>
  <w:style w:type="table" w:styleId="83">
    <w:name w:val="Grid Table 5 Dark - Accent 2"/>
    <w:basedOn w:val="45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2" w:themeFillTint="32"/>
    </w:tblPr>
    <w:tblStylePr w:type="band1Horz">
      <w:tcPr>
        <w:shd w:val="clear" w:fill="FFFFFF" w:color="FFFFFF" w:themeFill="accent2" w:themeFillTint="75"/>
      </w:tcPr>
    </w:tblStylePr>
    <w:tblStylePr w:type="band1Vert">
      <w:tcPr>
        <w:shd w:val="clear" w:fill="FFFFFF" w:color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2"/>
        <w:tcBorders>
          <w:top w:val="single" w:color="000000" w:sz="4" w:space="0" w:themeColor="light1"/>
        </w:tcBorders>
      </w:tcPr>
    </w:tblStylePr>
  </w:style>
  <w:style w:type="table" w:styleId="84">
    <w:name w:val="Grid Table 5 Dark - Accent 3"/>
    <w:basedOn w:val="45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3" w:themeFillTint="34"/>
    </w:tblPr>
    <w:tblStylePr w:type="band1Horz">
      <w:tcPr>
        <w:shd w:val="clear" w:fill="FFFFFF" w:color="FFFFFF" w:themeFill="accent3" w:themeFillTint="75"/>
      </w:tcPr>
    </w:tblStylePr>
    <w:tblStylePr w:type="band1Vert">
      <w:tcPr>
        <w:shd w:val="clear" w:fill="FFFFFF" w:color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3"/>
        <w:tcBorders>
          <w:top w:val="single" w:color="000000" w:sz="4" w:space="0" w:themeColor="light1"/>
        </w:tcBorders>
      </w:tcPr>
    </w:tblStylePr>
  </w:style>
  <w:style w:type="table" w:styleId="85">
    <w:name w:val="Grid Table 5 Dark- Accent 4"/>
    <w:basedOn w:val="45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4" w:themeFillTint="34"/>
    </w:tblPr>
    <w:tblStylePr w:type="band1Horz">
      <w:tcPr>
        <w:shd w:val="clear" w:fill="FFFFFF" w:color="FFFFFF" w:themeFill="accent4" w:themeFillTint="75"/>
      </w:tcPr>
    </w:tblStylePr>
    <w:tblStylePr w:type="band1Vert">
      <w:tcPr>
        <w:shd w:val="clear" w:fill="FFFFFF" w:color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4"/>
        <w:tcBorders>
          <w:top w:val="single" w:color="000000" w:sz="4" w:space="0" w:themeColor="light1"/>
        </w:tcBorders>
      </w:tcPr>
    </w:tblStylePr>
  </w:style>
  <w:style w:type="table" w:styleId="86">
    <w:name w:val="Grid Table 5 Dark - Accent 5"/>
    <w:basedOn w:val="45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5" w:themeFillTint="34"/>
    </w:tblPr>
    <w:tblStylePr w:type="band1Horz">
      <w:tcPr>
        <w:shd w:val="clear" w:fill="FFFFFF" w:color="FFFFFF" w:themeFill="accent5" w:themeFillTint="75"/>
      </w:tcPr>
    </w:tblStylePr>
    <w:tblStylePr w:type="band1Vert">
      <w:tcPr>
        <w:shd w:val="clear" w:fill="FFFFFF" w:color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top w:val="single" w:color="000000" w:sz="4" w:space="0" w:themeColor="light1"/>
        </w:tcBorders>
      </w:tcPr>
    </w:tblStylePr>
  </w:style>
  <w:style w:type="table" w:styleId="87">
    <w:name w:val="Grid Table 5 Dark - Accent 6"/>
    <w:basedOn w:val="45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6" w:themeFillTint="34"/>
    </w:tblPr>
    <w:tblStylePr w:type="band1Horz">
      <w:tcPr>
        <w:shd w:val="clear" w:fill="FFFFFF" w:color="FFFFFF" w:themeFill="accent6" w:themeFillTint="75"/>
      </w:tcPr>
    </w:tblStylePr>
    <w:tblStylePr w:type="band1Vert">
      <w:tcPr>
        <w:shd w:val="clear" w:fill="FFFFFF" w:color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top w:val="single" w:color="000000" w:sz="4" w:space="0" w:themeColor="light1"/>
        </w:tcBorders>
      </w:tcPr>
    </w:tblStylePr>
  </w:style>
  <w:style w:type="table" w:styleId="88">
    <w:name w:val="Grid Table 6 Colorful"/>
    <w:basedOn w:val="45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fill="FFFFFF" w:color="FFFFFF" w:themeFill="text1" w:themeFillTint="34"/>
      </w:tcPr>
    </w:tblStylePr>
    <w:tblStylePr w:type="band1Vert">
      <w:tcPr>
        <w:shd w:val="clear" w:fill="FFFFFF" w:color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45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45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45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45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45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45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45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fill="FFFFFF"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</w:style>
  <w:style w:type="table" w:styleId="96">
    <w:name w:val="Grid Table 7 Colorful - Accent 1"/>
    <w:basedOn w:val="45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1" w:themeTint="80"/>
          <w:bottom w:val="none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fill="FFFFFF" w:color="FFFFFF"/>
        <w:tcBorders>
          <w:left w:val="single" w:color="000000" w:sz="4" w:space="0" w:themeColor="accen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1" w:themeTint="80"/>
          <w:right w:val="none"/>
          <w:bottom w:val="none"/>
        </w:tcBorders>
      </w:tcPr>
    </w:tblStylePr>
  </w:style>
  <w:style w:type="table" w:styleId="97">
    <w:name w:val="Grid Table 7 Colorful - Accent 2"/>
    <w:basedOn w:val="45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fill="FFFFFF"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</w:style>
  <w:style w:type="table" w:styleId="98">
    <w:name w:val="Grid Table 7 Colorful - Accent 3"/>
    <w:basedOn w:val="45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3" w:themeTint="FE"/>
          <w:bottom w:val="none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fill="FFFFFF" w:color="FFFFFF"/>
        <w:tcBorders>
          <w:left w:val="single" w:color="000000" w:sz="4" w:space="0" w:themeColor="accent3" w:themeTint="FE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3" w:themeTint="FE"/>
          <w:right w:val="none"/>
          <w:bottom w:val="none"/>
        </w:tcBorders>
      </w:tcPr>
    </w:tblStylePr>
  </w:style>
  <w:style w:type="table" w:styleId="99">
    <w:name w:val="Grid Table 7 Colorful - Accent 4"/>
    <w:basedOn w:val="45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fill="FFFFFF"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</w:style>
  <w:style w:type="table" w:styleId="100">
    <w:name w:val="Grid Table 7 Colorful - Accent 5"/>
    <w:basedOn w:val="45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5" w:themeTint="90"/>
          <w:bottom w:val="none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fill="FFFFFF" w:color="FFFFFF"/>
        <w:tcBorders>
          <w:left w:val="single" w:color="000000" w:sz="4" w:space="0" w:themeColor="accent5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5" w:themeTint="90"/>
          <w:right w:val="none"/>
          <w:bottom w:val="none"/>
        </w:tcBorders>
      </w:tcPr>
    </w:tblStylePr>
  </w:style>
  <w:style w:type="table" w:styleId="101">
    <w:name w:val="Grid Table 7 Colorful - Accent 6"/>
    <w:basedOn w:val="45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6" w:themeTint="90"/>
          <w:bottom w:val="none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fill="FFFFFF" w:color="FFFFFF"/>
        <w:tcBorders>
          <w:left w:val="single" w:color="000000" w:sz="4" w:space="0" w:themeColor="accent6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6" w:themeTint="90"/>
          <w:right w:val="none"/>
          <w:bottom w:val="none"/>
        </w:tcBorders>
      </w:tcPr>
    </w:tblStylePr>
  </w:style>
  <w:style w:type="table" w:styleId="102">
    <w:name w:val="List Table 1 Light"/>
    <w:basedOn w:val="45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103">
    <w:name w:val="List Table 1 Light - Accent 1"/>
    <w:basedOn w:val="45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104">
    <w:name w:val="List Table 1 Light - Accent 2"/>
    <w:basedOn w:val="45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105">
    <w:name w:val="List Table 1 Light - Accent 3"/>
    <w:basedOn w:val="45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106">
    <w:name w:val="List Table 1 Light - Accent 4"/>
    <w:basedOn w:val="45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107">
    <w:name w:val="List Table 1 Light - Accent 5"/>
    <w:basedOn w:val="45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108">
    <w:name w:val="List Table 1 Light - Accent 6"/>
    <w:basedOn w:val="45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109">
    <w:name w:val="List Table 2"/>
    <w:basedOn w:val="45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110">
    <w:name w:val="List Table 2 - Accent 1"/>
    <w:basedOn w:val="45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111">
    <w:name w:val="List Table 2 - Accent 2"/>
    <w:basedOn w:val="45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112">
    <w:name w:val="List Table 2 - Accent 3"/>
    <w:basedOn w:val="45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113">
    <w:name w:val="List Table 2 - Accent 4"/>
    <w:basedOn w:val="45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114">
    <w:name w:val="List Table 2 - Accent 5"/>
    <w:basedOn w:val="45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115">
    <w:name w:val="List Table 2 - Accent 6"/>
    <w:basedOn w:val="45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116">
    <w:name w:val="List Table 3"/>
    <w:basedOn w:val="45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45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45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45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45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45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45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45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45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45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45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45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45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45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45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fill="FFFFFF" w:color="FFFFFF" w:themeFill="text1" w:themeFillTint="80"/>
    </w:tblPr>
    <w:tblStylePr w:type="band1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45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fill="FFFFFF" w:color="FFFFFF" w:themeFill="accent1"/>
    </w:tblPr>
    <w:tblStylePr w:type="band1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45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fill="FFFFFF" w:color="FFFFFF" w:themeFill="accent2" w:themeFillTint="97"/>
    </w:tblPr>
    <w:tblStylePr w:type="band1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45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fill="FFFFFF" w:color="FFFFFF" w:themeFill="accent3" w:themeFillTint="98"/>
    </w:tblPr>
    <w:tblStylePr w:type="band1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45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fill="FFFFFF" w:color="FFFFFF" w:themeFill="accent4" w:themeFillTint="9A"/>
    </w:tblPr>
    <w:tblStylePr w:type="band1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45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fill="FFFFFF" w:color="FFFFFF" w:themeFill="accent5" w:themeFillTint="9A"/>
    </w:tblPr>
    <w:tblStylePr w:type="band1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45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fill="FFFFFF" w:color="FFFFFF" w:themeFill="accent6" w:themeFillTint="98"/>
    </w:tblPr>
    <w:tblStylePr w:type="band1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45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138">
    <w:name w:val="List Table 6 Colorful - Accent 1"/>
    <w:basedOn w:val="45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139">
    <w:name w:val="List Table 6 Colorful - Accent 2"/>
    <w:basedOn w:val="45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140">
    <w:name w:val="List Table 6 Colorful - Accent 3"/>
    <w:basedOn w:val="45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141">
    <w:name w:val="List Table 6 Colorful - Accent 4"/>
    <w:basedOn w:val="45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142">
    <w:name w:val="List Table 6 Colorful - Accent 5"/>
    <w:basedOn w:val="45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143">
    <w:name w:val="List Table 6 Colorful - Accent 6"/>
    <w:basedOn w:val="45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144">
    <w:name w:val="List Table 7 Colorful"/>
    <w:basedOn w:val="45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fill="FFFFFF"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45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1"/>
          <w:bottom w:val="none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fill="FFFFFF" w:color="FFFFFF"/>
        <w:tcBorders>
          <w:left w:val="single" w:color="000000" w:sz="4" w:space="0" w:themeColor="accent1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1"/>
          <w:right w:val="none"/>
          <w:bottom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6">
    <w:name w:val="List Table 7 Colorful - Accent 2"/>
    <w:basedOn w:val="45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fill="FFFFFF"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7">
    <w:name w:val="List Table 7 Colorful - Accent 3"/>
    <w:basedOn w:val="45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3" w:themeTint="98"/>
          <w:bottom w:val="none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fill="FFFFFF" w:color="FFFFFF"/>
        <w:tcBorders>
          <w:left w:val="single" w:color="000000" w:sz="4" w:space="0" w:themeColor="accent3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3" w:themeTint="98"/>
          <w:right w:val="none"/>
          <w:bottom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8">
    <w:name w:val="List Table 7 Colorful - Accent 4"/>
    <w:basedOn w:val="45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fill="FFFFFF"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49">
    <w:name w:val="List Table 7 Colorful - Accent 5"/>
    <w:basedOn w:val="45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5" w:themeTint="9A"/>
          <w:bottom w:val="none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fill="FFFFFF" w:color="FFFFFF"/>
        <w:tcBorders>
          <w:left w:val="single" w:color="000000" w:sz="4" w:space="0" w:themeColor="accent5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5" w:themeTint="9A"/>
          <w:right w:val="none"/>
          <w:bottom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0">
    <w:name w:val="List Table 7 Colorful - Accent 6"/>
    <w:basedOn w:val="45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6" w:themeTint="98"/>
          <w:bottom w:val="none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fill="FFFFFF" w:color="FFFFFF"/>
        <w:tcBorders>
          <w:left w:val="single" w:color="000000" w:sz="4" w:space="0" w:themeColor="accent6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6" w:themeTint="98"/>
          <w:right w:val="none"/>
          <w:bottom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1">
    <w:name w:val="Lined - Accent"/>
    <w:basedOn w:val="45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152">
    <w:name w:val="Lined - Accent 1"/>
    <w:basedOn w:val="45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153">
    <w:name w:val="Lined - Accent 2"/>
    <w:basedOn w:val="45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154">
    <w:name w:val="Lined - Accent 3"/>
    <w:basedOn w:val="45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155">
    <w:name w:val="Lined - Accent 4"/>
    <w:basedOn w:val="45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156">
    <w:name w:val="Lined - Accent 5"/>
    <w:basedOn w:val="45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157">
    <w:name w:val="Lined - Accent 6"/>
    <w:basedOn w:val="45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158">
    <w:name w:val="Bordered &amp; Lined - Accent"/>
    <w:basedOn w:val="45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159">
    <w:name w:val="Bordered &amp; Lined - Accent 1"/>
    <w:basedOn w:val="45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160">
    <w:name w:val="Bordered &amp; Lined - Accent 2"/>
    <w:basedOn w:val="45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161">
    <w:name w:val="Bordered &amp; Lined - Accent 3"/>
    <w:basedOn w:val="45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162">
    <w:name w:val="Bordered &amp; Lined - Accent 4"/>
    <w:basedOn w:val="45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163">
    <w:name w:val="Bordered &amp; Lined - Accent 5"/>
    <w:basedOn w:val="45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164">
    <w:name w:val="Bordered &amp; Lined - Accent 6"/>
    <w:basedOn w:val="45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165">
    <w:name w:val="Bordered"/>
    <w:basedOn w:val="45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166">
    <w:name w:val="Bordered - Accent 1"/>
    <w:basedOn w:val="45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167">
    <w:name w:val="Bordered - Accent 2"/>
    <w:basedOn w:val="45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168">
    <w:name w:val="Bordered - Accent 3"/>
    <w:basedOn w:val="45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169">
    <w:name w:val="Bordered - Accent 4"/>
    <w:basedOn w:val="45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170">
    <w:name w:val="Bordered - Accent 5"/>
    <w:basedOn w:val="45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171">
    <w:name w:val="Bordered - Accent 6"/>
    <w:basedOn w:val="45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paragraph" w:styleId="173">
    <w:name w:val="footnote text"/>
    <w:basedOn w:val="453"/>
    <w:link w:val="174"/>
    <w:uiPriority w:val="99"/>
    <w:semiHidden/>
    <w:unhideWhenUsed/>
    <w:rPr>
      <w:sz w:val="18"/>
    </w:rPr>
    <w:pPr>
      <w:spacing w:lineRule="auto" w:line="240" w:after="40"/>
    </w:p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454"/>
    <w:uiPriority w:val="99"/>
    <w:unhideWhenUsed/>
    <w:rPr>
      <w:vertAlign w:val="superscript"/>
    </w:rPr>
  </w:style>
  <w:style w:type="paragraph" w:styleId="176">
    <w:name w:val="endnote text"/>
    <w:basedOn w:val="453"/>
    <w:link w:val="177"/>
    <w:uiPriority w:val="99"/>
    <w:semiHidden/>
    <w:unhideWhenUsed/>
    <w:rPr>
      <w:sz w:val="20"/>
    </w:rPr>
    <w:pPr>
      <w:spacing w:lineRule="auto" w:line="240" w:after="0"/>
    </w:p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454"/>
    <w:uiPriority w:val="99"/>
    <w:semiHidden/>
    <w:unhideWhenUsed/>
    <w:rPr>
      <w:vertAlign w:val="superscript"/>
    </w:rPr>
  </w:style>
  <w:style w:type="paragraph" w:styleId="179">
    <w:name w:val="toc 1"/>
    <w:basedOn w:val="453"/>
    <w:next w:val="453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453"/>
    <w:next w:val="453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453"/>
    <w:next w:val="453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453"/>
    <w:next w:val="453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453"/>
    <w:next w:val="453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453"/>
    <w:next w:val="453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453"/>
    <w:next w:val="453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453"/>
    <w:next w:val="453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453"/>
    <w:next w:val="453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453" w:default="1">
    <w:name w:val="Normal"/>
    <w:qFormat/>
    <w:rPr>
      <w:rFonts w:ascii="Times New Roman" w:hAnsi="Times New Roman" w:cs="Times New Roman" w:eastAsia="Times New Roman"/>
      <w:sz w:val="24"/>
      <w:szCs w:val="24"/>
      <w:lang w:eastAsia="ar-SA"/>
    </w:rPr>
    <w:pPr>
      <w:spacing w:lineRule="auto" w:line="240" w:after="0"/>
    </w:pPr>
  </w:style>
  <w:style w:type="character" w:styleId="454" w:default="1">
    <w:name w:val="Default Paragraph Font"/>
    <w:uiPriority w:val="1"/>
    <w:semiHidden/>
    <w:unhideWhenUsed/>
  </w:style>
  <w:style w:type="table" w:styleId="45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456" w:default="1">
    <w:name w:val="No List"/>
    <w:uiPriority w:val="99"/>
    <w:semiHidden/>
    <w:unhideWhenUsed/>
  </w:style>
  <w:style w:type="character" w:styleId="457">
    <w:name w:val="Hyperlink"/>
    <w:rPr>
      <w:color w:val="0000FF"/>
      <w:u w:val="single"/>
    </w:rPr>
  </w:style>
  <w:style w:type="paragraph" w:styleId="458" w:customStyle="1">
    <w:name w:val="ConsPlusNormal"/>
    <w:rPr>
      <w:rFonts w:ascii="Calibri" w:hAnsi="Calibri" w:cs="Calibri" w:eastAsia="Times New Roman"/>
      <w:sz w:val="20"/>
      <w:szCs w:val="20"/>
      <w:lang w:eastAsia="ru-RU"/>
    </w:rPr>
    <w:pPr>
      <w:spacing w:lineRule="auto" w:line="240" w:after="0"/>
      <w:widowControl w:val="off"/>
    </w:pPr>
  </w:style>
  <w:style w:type="paragraph" w:styleId="459" w:customStyle="1">
    <w:name w:val="Обычный;Обычный_1"/>
    <w:rPr>
      <w:rFonts w:ascii="Times New Roman" w:hAnsi="Times New Roman" w:cs="Times New Roman" w:eastAsia="Times New Roman"/>
      <w:sz w:val="24"/>
      <w:szCs w:val="24"/>
      <w:lang w:eastAsia="ar-SA"/>
    </w:rPr>
    <w:pPr>
      <w:spacing w:lineRule="auto" w:line="240" w:after="0"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</w:style>
  <w:style w:type="paragraph" w:styleId="460">
    <w:name w:val="Body Text Indent"/>
    <w:basedOn w:val="453"/>
    <w:link w:val="461"/>
    <w:uiPriority w:val="99"/>
    <w:rPr>
      <w:sz w:val="20"/>
      <w:szCs w:val="20"/>
    </w:rPr>
    <w:pPr>
      <w:jc w:val="both"/>
    </w:pPr>
  </w:style>
  <w:style w:type="character" w:styleId="461" w:customStyle="1">
    <w:name w:val="Основной текст с отступом Знак"/>
    <w:basedOn w:val="454"/>
    <w:link w:val="460"/>
    <w:uiPriority w:val="99"/>
    <w:rPr>
      <w:rFonts w:ascii="Times New Roman" w:hAnsi="Times New Roman" w:cs="Times New Roman" w:eastAsia="Times New Roman"/>
      <w:sz w:val="24"/>
      <w:szCs w:val="20"/>
    </w:rPr>
  </w:style>
  <w:style w:type="paragraph" w:styleId="462">
    <w:name w:val="Body Text"/>
    <w:basedOn w:val="453"/>
    <w:link w:val="463"/>
    <w:rPr>
      <w:sz w:val="20"/>
      <w:szCs w:val="20"/>
      <w:lang w:eastAsia="ru-RU"/>
    </w:rPr>
    <w:pPr>
      <w:spacing w:after="120"/>
    </w:pPr>
  </w:style>
  <w:style w:type="character" w:styleId="463" w:customStyle="1">
    <w:name w:val="Основной текст Знак"/>
    <w:basedOn w:val="454"/>
    <w:link w:val="462"/>
    <w:rPr>
      <w:rFonts w:ascii="Times New Roman" w:hAnsi="Times New Roman" w:cs="Times New Roman" w:eastAsia="Times New Roman"/>
      <w:sz w:val="20"/>
      <w:szCs w:val="20"/>
      <w:lang w:eastAsia="ru-RU"/>
    </w:rPr>
  </w:style>
  <w:style w:type="paragraph" w:styleId="464" w:customStyle="1">
    <w:name w:val="Table Paragraph"/>
    <w:basedOn w:val="453"/>
    <w:qFormat/>
    <w:uiPriority w:val="1"/>
    <w:rPr>
      <w:sz w:val="22"/>
      <w:szCs w:val="22"/>
      <w:lang w:eastAsia="en-US"/>
    </w:rPr>
    <w:pPr>
      <w:widowControl w:val="off"/>
    </w:pPr>
  </w:style>
  <w:style w:type="paragraph" w:styleId="465">
    <w:name w:val="Header"/>
    <w:basedOn w:val="453"/>
    <w:link w:val="466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466" w:customStyle="1">
    <w:name w:val="Верхний колонтитул Знак"/>
    <w:basedOn w:val="454"/>
    <w:link w:val="465"/>
    <w:uiPriority w:val="99"/>
    <w:rPr>
      <w:rFonts w:ascii="Times New Roman" w:hAnsi="Times New Roman" w:cs="Times New Roman" w:eastAsia="Times New Roman"/>
      <w:sz w:val="24"/>
      <w:szCs w:val="24"/>
      <w:lang w:eastAsia="ar-SA"/>
    </w:rPr>
  </w:style>
  <w:style w:type="paragraph" w:styleId="467">
    <w:name w:val="Footer"/>
    <w:basedOn w:val="453"/>
    <w:link w:val="468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468" w:customStyle="1">
    <w:name w:val="Нижний колонтитул Знак"/>
    <w:basedOn w:val="454"/>
    <w:link w:val="467"/>
    <w:uiPriority w:val="99"/>
    <w:rPr>
      <w:rFonts w:ascii="Times New Roman" w:hAnsi="Times New Roman" w:cs="Times New Roman" w:eastAsia="Times New Roman"/>
      <w:sz w:val="24"/>
      <w:szCs w:val="24"/>
      <w:lang w:eastAsia="ar-SA"/>
    </w:rPr>
  </w:style>
  <w:style w:type="paragraph" w:styleId="469">
    <w:name w:val="Balloon Text"/>
    <w:basedOn w:val="453"/>
    <w:link w:val="470"/>
    <w:uiPriority w:val="99"/>
    <w:semiHidden/>
    <w:unhideWhenUsed/>
    <w:rPr>
      <w:rFonts w:ascii="Tahoma" w:hAnsi="Tahoma" w:cs="Tahoma"/>
      <w:sz w:val="16"/>
      <w:szCs w:val="16"/>
    </w:rPr>
  </w:style>
  <w:style w:type="character" w:styleId="470" w:customStyle="1">
    <w:name w:val="Текст выноски Знак"/>
    <w:basedOn w:val="454"/>
    <w:link w:val="469"/>
    <w:uiPriority w:val="99"/>
    <w:semiHidden/>
    <w:rPr>
      <w:rFonts w:ascii="Tahoma" w:hAnsi="Tahoma" w:cs="Tahoma" w:eastAsia="Times New Roman"/>
      <w:sz w:val="16"/>
      <w:szCs w:val="16"/>
      <w:lang w:eastAsia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Relationship Id="rId10" Type="http://schemas.openxmlformats.org/officeDocument/2006/relationships/hyperlink" Target="consultantplus://offline/ref%3D42284853478D02AAA189124CD4F4224ECA29ABB0A479D0D997BD59ED4E839D28A9A84F5203F8074F843306g9QBI" TargetMode="External"/><Relationship Id="rId11" Type="http://schemas.openxmlformats.org/officeDocument/2006/relationships/hyperlink" Target="consultantplus://offline/ref%3D42284853478D02AAA189124CD4F4224ECA29ABB0A479D0D997BD59ED4E839D28A9A84F5203F8074F843306g9Q8I" TargetMode="External"/><Relationship Id="rId12" Type="http://schemas.openxmlformats.org/officeDocument/2006/relationships/hyperlink" Target="consultantplus://offline/ref%3D42284853478D02AAA189124CD4F4224ECA29ABB0A479D0D997BD59ED4E839D28A9A84F5203F8074F843306g9Q8I" TargetMode="External"/><Relationship Id="rId13" Type="http://schemas.openxmlformats.org/officeDocument/2006/relationships/hyperlink" Target="consultantplus://offline/ref%3D42284853478D02AAA189124CD4F4224ECA29ABB0A479D0D997BD59ED4E839D28A9A84F5203F8074F843306g9Q9I" TargetMode="External"/><Relationship Id="rId14" Type="http://schemas.openxmlformats.org/officeDocument/2006/relationships/hyperlink" Target="consultantplus://offline/ref=45CAD77840989460C1F19F95DF4B58957112F98699C8DD5E3AC9B9BFDC98218C8A7E67A6D769E6C4w8VCI" TargetMode="External"/><Relationship Id="rId15" Type="http://schemas.openxmlformats.org/officeDocument/2006/relationships/hyperlink" Target="consultantplus://offline/ref=4DA56A0F6AA0C6D787AF2471D0D673AEEC94DF974977C1D15E4A97B4669B0BAF5B92423D53C3CA8AQ0W1I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Р7-Офис/6.1.0.68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revision>7</cp:revision>
  <dcterms:created xsi:type="dcterms:W3CDTF">2026-05-27T14:48:00Z</dcterms:created>
  <dcterms:modified xsi:type="dcterms:W3CDTF">2026-05-28T15:02:24Z</dcterms:modified>
</cp:coreProperties>
</file>